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4C1" w:rsidRDefault="006954C1" w:rsidP="006954C1">
      <w:pPr>
        <w:rPr>
          <w:color w:val="000000"/>
          <w:sz w:val="21"/>
          <w:szCs w:val="21"/>
        </w:rPr>
      </w:pPr>
    </w:p>
    <w:p w:rsidR="006954C1" w:rsidRPr="00EA3863" w:rsidRDefault="006954C1" w:rsidP="006954C1">
      <w:pPr>
        <w:rPr>
          <w:rFonts w:ascii="Times New Roman" w:hAnsi="Times New Roman"/>
          <w:color w:val="000000"/>
          <w:sz w:val="22"/>
          <w:szCs w:val="22"/>
        </w:rPr>
      </w:pPr>
    </w:p>
    <w:p w:rsidR="006954C1" w:rsidRPr="00EA3863" w:rsidRDefault="006954C1" w:rsidP="006954C1">
      <w:pPr>
        <w:rPr>
          <w:rFonts w:ascii="Times New Roman" w:hAnsi="Times New Roman"/>
          <w:color w:val="000000"/>
          <w:sz w:val="22"/>
          <w:szCs w:val="22"/>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2423"/>
        <w:gridCol w:w="2423"/>
        <w:gridCol w:w="2424"/>
        <w:gridCol w:w="2424"/>
      </w:tblGrid>
      <w:tr w:rsidR="006954C1" w:rsidRPr="00C1039E" w:rsidTr="00A56764">
        <w:trPr>
          <w:jc w:val="center"/>
        </w:trPr>
        <w:tc>
          <w:tcPr>
            <w:tcW w:w="1000" w:type="pct"/>
            <w:vAlign w:val="center"/>
          </w:tcPr>
          <w:p w:rsidR="006954C1" w:rsidRPr="00C1039E" w:rsidRDefault="006954C1" w:rsidP="00A56764">
            <w:pPr>
              <w:pStyle w:val="Contenutotabella"/>
              <w:snapToGrid w:val="0"/>
              <w:jc w:val="center"/>
            </w:pPr>
            <w:r>
              <w:rPr>
                <w:noProof/>
                <w:lang w:eastAsia="it-IT"/>
              </w:rPr>
              <w:drawing>
                <wp:inline distT="0" distB="0" distL="0" distR="0">
                  <wp:extent cx="1133475" cy="561975"/>
                  <wp:effectExtent l="0" t="0" r="9525" b="9525"/>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33475" cy="561975"/>
                          </a:xfrm>
                          <a:prstGeom prst="rect">
                            <a:avLst/>
                          </a:prstGeom>
                          <a:noFill/>
                          <a:ln>
                            <a:noFill/>
                          </a:ln>
                        </pic:spPr>
                      </pic:pic>
                    </a:graphicData>
                  </a:graphic>
                </wp:inline>
              </w:drawing>
            </w:r>
          </w:p>
        </w:tc>
        <w:tc>
          <w:tcPr>
            <w:tcW w:w="1000" w:type="pct"/>
            <w:vAlign w:val="center"/>
          </w:tcPr>
          <w:p w:rsidR="006954C1" w:rsidRPr="00C1039E" w:rsidRDefault="006954C1" w:rsidP="00A56764">
            <w:pPr>
              <w:pStyle w:val="Contenutotabella"/>
              <w:snapToGrid w:val="0"/>
              <w:jc w:val="center"/>
            </w:pPr>
            <w:r>
              <w:rPr>
                <w:noProof/>
                <w:lang w:eastAsia="it-IT"/>
              </w:rPr>
              <w:drawing>
                <wp:inline distT="0" distB="0" distL="0" distR="0">
                  <wp:extent cx="1095375" cy="485775"/>
                  <wp:effectExtent l="0" t="0" r="9525" b="9525"/>
                  <wp:docPr id="7" name="Immagine 7" descr="Uil_Scuo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il_Scuol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95375" cy="485775"/>
                          </a:xfrm>
                          <a:prstGeom prst="rect">
                            <a:avLst/>
                          </a:prstGeom>
                          <a:noFill/>
                          <a:ln>
                            <a:noFill/>
                          </a:ln>
                        </pic:spPr>
                      </pic:pic>
                    </a:graphicData>
                  </a:graphic>
                </wp:inline>
              </w:drawing>
            </w:r>
          </w:p>
        </w:tc>
        <w:tc>
          <w:tcPr>
            <w:tcW w:w="1000" w:type="pct"/>
            <w:vAlign w:val="center"/>
          </w:tcPr>
          <w:p w:rsidR="006954C1" w:rsidRPr="00C1039E" w:rsidRDefault="006954C1" w:rsidP="00A56764">
            <w:pPr>
              <w:pStyle w:val="Contenutotabella"/>
              <w:snapToGrid w:val="0"/>
              <w:jc w:val="center"/>
            </w:pPr>
            <w:r>
              <w:rPr>
                <w:noProof/>
                <w:lang w:eastAsia="it-IT"/>
              </w:rPr>
              <w:drawing>
                <wp:inline distT="0" distB="0" distL="0" distR="0">
                  <wp:extent cx="981075" cy="552450"/>
                  <wp:effectExtent l="0" t="0" r="9525" b="0"/>
                  <wp:docPr id="6" name="Immagine 6" descr="SNALS Logo nuo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NALS Logo nuov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81075" cy="552450"/>
                          </a:xfrm>
                          <a:prstGeom prst="rect">
                            <a:avLst/>
                          </a:prstGeom>
                          <a:noFill/>
                          <a:ln>
                            <a:noFill/>
                          </a:ln>
                        </pic:spPr>
                      </pic:pic>
                    </a:graphicData>
                  </a:graphic>
                </wp:inline>
              </w:drawing>
            </w:r>
          </w:p>
        </w:tc>
        <w:tc>
          <w:tcPr>
            <w:tcW w:w="1000" w:type="pct"/>
            <w:vAlign w:val="center"/>
          </w:tcPr>
          <w:p w:rsidR="006954C1" w:rsidRPr="00C1039E" w:rsidRDefault="006954C1" w:rsidP="00A56764">
            <w:pPr>
              <w:pStyle w:val="Contenutotabella"/>
              <w:snapToGrid w:val="0"/>
              <w:jc w:val="center"/>
            </w:pPr>
            <w:r>
              <w:rPr>
                <w:noProof/>
                <w:lang w:eastAsia="it-IT"/>
              </w:rPr>
              <w:drawing>
                <wp:inline distT="0" distB="0" distL="0" distR="0">
                  <wp:extent cx="561975" cy="533400"/>
                  <wp:effectExtent l="0" t="0" r="9525"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975" cy="533400"/>
                          </a:xfrm>
                          <a:prstGeom prst="rect">
                            <a:avLst/>
                          </a:prstGeom>
                          <a:noFill/>
                          <a:ln>
                            <a:noFill/>
                          </a:ln>
                        </pic:spPr>
                      </pic:pic>
                    </a:graphicData>
                  </a:graphic>
                </wp:inline>
              </w:drawing>
            </w:r>
          </w:p>
        </w:tc>
      </w:tr>
    </w:tbl>
    <w:p w:rsidR="006954C1" w:rsidRPr="00EA3863" w:rsidRDefault="006954C1" w:rsidP="006954C1">
      <w:pPr>
        <w:rPr>
          <w:rFonts w:ascii="Times New Roman" w:hAnsi="Times New Roman"/>
          <w:color w:val="000000"/>
          <w:sz w:val="22"/>
          <w:szCs w:val="22"/>
        </w:rPr>
      </w:pPr>
    </w:p>
    <w:p w:rsidR="006954C1" w:rsidRPr="00EA3863" w:rsidRDefault="006954C1" w:rsidP="006954C1">
      <w:pPr>
        <w:widowControl w:val="0"/>
        <w:jc w:val="right"/>
        <w:rPr>
          <w:rFonts w:ascii="Times New Roman" w:eastAsia="Arial Unicode MS" w:hAnsi="Times New Roman"/>
          <w:color w:val="000000"/>
          <w:kern w:val="1"/>
          <w:sz w:val="22"/>
          <w:szCs w:val="22"/>
          <w:lang w:eastAsia="hi-IN" w:bidi="hi-IN"/>
        </w:rPr>
      </w:pPr>
    </w:p>
    <w:p w:rsidR="006954C1" w:rsidRPr="00EA3863" w:rsidRDefault="006954C1" w:rsidP="006954C1">
      <w:pPr>
        <w:widowControl w:val="0"/>
        <w:jc w:val="right"/>
        <w:rPr>
          <w:rFonts w:ascii="Times New Roman" w:eastAsia="Arial Unicode MS" w:hAnsi="Times New Roman"/>
          <w:color w:val="000000"/>
          <w:kern w:val="1"/>
          <w:sz w:val="22"/>
          <w:szCs w:val="22"/>
          <w:lang w:eastAsia="hi-IN" w:bidi="hi-IN"/>
        </w:rPr>
      </w:pPr>
      <w:r w:rsidRPr="00EA3863">
        <w:rPr>
          <w:rFonts w:ascii="Times New Roman" w:eastAsia="Arial Unicode MS" w:hAnsi="Times New Roman"/>
          <w:color w:val="000000"/>
          <w:kern w:val="1"/>
          <w:sz w:val="22"/>
          <w:szCs w:val="22"/>
          <w:lang w:eastAsia="hi-IN" w:bidi="hi-IN"/>
        </w:rPr>
        <w:t>Al Ministero dell’Istruzione, dell’Università e della Ricerca</w:t>
      </w:r>
    </w:p>
    <w:p w:rsidR="006954C1" w:rsidRPr="00EA3863" w:rsidRDefault="006954C1" w:rsidP="006954C1">
      <w:pPr>
        <w:widowControl w:val="0"/>
        <w:jc w:val="right"/>
        <w:rPr>
          <w:rFonts w:ascii="Times New Roman" w:eastAsia="Arial Unicode MS" w:hAnsi="Times New Roman"/>
          <w:color w:val="000000"/>
          <w:kern w:val="1"/>
          <w:sz w:val="22"/>
          <w:szCs w:val="22"/>
          <w:lang w:eastAsia="hi-IN" w:bidi="hi-IN"/>
        </w:rPr>
      </w:pPr>
      <w:r w:rsidRPr="00EA3863">
        <w:rPr>
          <w:rFonts w:ascii="Times New Roman" w:eastAsia="Arial Unicode MS" w:hAnsi="Times New Roman"/>
          <w:color w:val="000000"/>
          <w:kern w:val="1"/>
          <w:sz w:val="22"/>
          <w:szCs w:val="22"/>
          <w:lang w:eastAsia="hi-IN" w:bidi="hi-IN"/>
        </w:rPr>
        <w:t>Capo Dipartimento per l’istruzione</w:t>
      </w:r>
    </w:p>
    <w:p w:rsidR="006954C1" w:rsidRPr="00EA3863" w:rsidRDefault="006954C1" w:rsidP="006954C1">
      <w:pPr>
        <w:widowControl w:val="0"/>
        <w:jc w:val="right"/>
        <w:rPr>
          <w:rFonts w:ascii="Times New Roman" w:eastAsia="Arial Unicode MS" w:hAnsi="Times New Roman"/>
          <w:color w:val="000000"/>
          <w:kern w:val="1"/>
          <w:sz w:val="22"/>
          <w:szCs w:val="22"/>
          <w:lang w:eastAsia="hi-IN" w:bidi="hi-IN"/>
        </w:rPr>
      </w:pPr>
      <w:r w:rsidRPr="00EA3863">
        <w:rPr>
          <w:rFonts w:ascii="Times New Roman" w:eastAsia="Arial Unicode MS" w:hAnsi="Times New Roman"/>
          <w:color w:val="000000"/>
          <w:kern w:val="1"/>
          <w:sz w:val="22"/>
          <w:szCs w:val="22"/>
          <w:lang w:eastAsia="hi-IN" w:bidi="hi-IN"/>
        </w:rPr>
        <w:t xml:space="preserve">Dott. Luciano </w:t>
      </w:r>
      <w:proofErr w:type="spellStart"/>
      <w:r w:rsidRPr="00EA3863">
        <w:rPr>
          <w:rFonts w:ascii="Times New Roman" w:eastAsia="Arial Unicode MS" w:hAnsi="Times New Roman"/>
          <w:color w:val="000000"/>
          <w:kern w:val="1"/>
          <w:sz w:val="22"/>
          <w:szCs w:val="22"/>
          <w:lang w:eastAsia="hi-IN" w:bidi="hi-IN"/>
        </w:rPr>
        <w:t>Chiappetta</w:t>
      </w:r>
      <w:proofErr w:type="spellEnd"/>
    </w:p>
    <w:p w:rsidR="006954C1" w:rsidRPr="00EA3863" w:rsidRDefault="006954C1" w:rsidP="006954C1">
      <w:pPr>
        <w:widowControl w:val="0"/>
        <w:jc w:val="right"/>
        <w:rPr>
          <w:rFonts w:ascii="Times New Roman" w:eastAsia="Arial Unicode MS" w:hAnsi="Times New Roman"/>
          <w:color w:val="000000"/>
          <w:kern w:val="1"/>
          <w:sz w:val="22"/>
          <w:szCs w:val="22"/>
          <w:lang w:eastAsia="hi-IN" w:bidi="hi-IN"/>
        </w:rPr>
      </w:pPr>
    </w:p>
    <w:p w:rsidR="006954C1" w:rsidRPr="00EA3863" w:rsidRDefault="006954C1" w:rsidP="006954C1">
      <w:pPr>
        <w:widowControl w:val="0"/>
        <w:jc w:val="right"/>
        <w:rPr>
          <w:rFonts w:ascii="Times New Roman" w:eastAsia="Arial Unicode MS" w:hAnsi="Times New Roman"/>
          <w:color w:val="000000"/>
          <w:kern w:val="1"/>
          <w:sz w:val="22"/>
          <w:szCs w:val="22"/>
          <w:lang w:eastAsia="hi-IN" w:bidi="hi-IN"/>
        </w:rPr>
      </w:pPr>
      <w:r w:rsidRPr="00EA3863">
        <w:rPr>
          <w:rFonts w:ascii="Times New Roman" w:eastAsia="Arial Unicode MS" w:hAnsi="Times New Roman"/>
          <w:color w:val="000000"/>
          <w:kern w:val="1"/>
          <w:sz w:val="22"/>
          <w:szCs w:val="22"/>
          <w:lang w:eastAsia="hi-IN" w:bidi="hi-IN"/>
        </w:rPr>
        <w:t>Al Ministero dell’Economia e delle Finanze</w:t>
      </w:r>
    </w:p>
    <w:p w:rsidR="006954C1" w:rsidRPr="00EA3863" w:rsidRDefault="006954C1" w:rsidP="006954C1">
      <w:pPr>
        <w:widowControl w:val="0"/>
        <w:jc w:val="right"/>
        <w:rPr>
          <w:rFonts w:ascii="Times New Roman" w:eastAsia="Arial Unicode MS" w:hAnsi="Times New Roman"/>
          <w:color w:val="000000"/>
          <w:kern w:val="1"/>
          <w:sz w:val="22"/>
          <w:szCs w:val="22"/>
          <w:lang w:eastAsia="hi-IN" w:bidi="hi-IN"/>
        </w:rPr>
      </w:pPr>
      <w:r w:rsidRPr="00EA3863">
        <w:rPr>
          <w:rFonts w:ascii="Times New Roman" w:eastAsia="Arial Unicode MS" w:hAnsi="Times New Roman"/>
          <w:color w:val="000000"/>
          <w:kern w:val="1"/>
          <w:sz w:val="22"/>
          <w:szCs w:val="22"/>
          <w:lang w:eastAsia="hi-IN" w:bidi="hi-IN"/>
        </w:rPr>
        <w:t>Dipartimento dell’Amministrazione Generale del personale e dei servizi</w:t>
      </w:r>
    </w:p>
    <w:p w:rsidR="006954C1" w:rsidRPr="00EA3863" w:rsidRDefault="006954C1" w:rsidP="006954C1">
      <w:pPr>
        <w:widowControl w:val="0"/>
        <w:jc w:val="right"/>
        <w:rPr>
          <w:rFonts w:ascii="Times New Roman" w:eastAsia="Arial Unicode MS" w:hAnsi="Times New Roman"/>
          <w:color w:val="000000"/>
          <w:kern w:val="1"/>
          <w:sz w:val="22"/>
          <w:szCs w:val="22"/>
          <w:lang w:eastAsia="hi-IN" w:bidi="hi-IN"/>
        </w:rPr>
      </w:pPr>
      <w:r w:rsidRPr="00EA3863">
        <w:rPr>
          <w:rFonts w:ascii="Times New Roman" w:eastAsia="Arial Unicode MS" w:hAnsi="Times New Roman"/>
          <w:color w:val="000000"/>
          <w:kern w:val="1"/>
          <w:sz w:val="22"/>
          <w:szCs w:val="22"/>
          <w:lang w:eastAsia="hi-IN" w:bidi="hi-IN"/>
        </w:rPr>
        <w:t>Direzione sistemi informativi e dell’innovazione</w:t>
      </w:r>
    </w:p>
    <w:p w:rsidR="006954C1" w:rsidRPr="00EA3863" w:rsidRDefault="006954C1" w:rsidP="006954C1">
      <w:pPr>
        <w:widowControl w:val="0"/>
        <w:jc w:val="right"/>
        <w:rPr>
          <w:rFonts w:ascii="Times New Roman" w:eastAsia="Arial Unicode MS" w:hAnsi="Times New Roman"/>
          <w:color w:val="000000"/>
          <w:kern w:val="1"/>
          <w:sz w:val="22"/>
          <w:szCs w:val="22"/>
          <w:lang w:eastAsia="hi-IN" w:bidi="hi-IN"/>
        </w:rPr>
      </w:pPr>
      <w:r w:rsidRPr="00EA3863">
        <w:rPr>
          <w:rFonts w:ascii="Times New Roman" w:eastAsia="Arial Unicode MS" w:hAnsi="Times New Roman"/>
          <w:color w:val="000000"/>
          <w:kern w:val="1"/>
          <w:sz w:val="22"/>
          <w:szCs w:val="22"/>
          <w:lang w:eastAsia="hi-IN" w:bidi="hi-IN"/>
        </w:rPr>
        <w:t>Ufficio V – NOI PA</w:t>
      </w:r>
    </w:p>
    <w:p w:rsidR="006954C1" w:rsidRPr="00EA3863" w:rsidRDefault="006954C1" w:rsidP="006954C1">
      <w:pPr>
        <w:widowControl w:val="0"/>
        <w:jc w:val="right"/>
        <w:rPr>
          <w:rFonts w:ascii="Times New Roman" w:eastAsia="Arial Unicode MS" w:hAnsi="Times New Roman"/>
          <w:color w:val="000000"/>
          <w:kern w:val="1"/>
          <w:sz w:val="22"/>
          <w:szCs w:val="22"/>
          <w:lang w:eastAsia="hi-IN" w:bidi="hi-IN"/>
        </w:rPr>
      </w:pPr>
    </w:p>
    <w:p w:rsidR="006954C1" w:rsidRPr="00EA3863" w:rsidRDefault="006954C1" w:rsidP="006954C1">
      <w:pPr>
        <w:widowControl w:val="0"/>
        <w:jc w:val="right"/>
        <w:rPr>
          <w:rFonts w:ascii="Times New Roman" w:eastAsia="Arial Unicode MS" w:hAnsi="Times New Roman"/>
          <w:color w:val="000000"/>
          <w:kern w:val="1"/>
          <w:sz w:val="22"/>
          <w:szCs w:val="22"/>
          <w:lang w:eastAsia="hi-IN" w:bidi="hi-IN"/>
        </w:rPr>
      </w:pPr>
      <w:r w:rsidRPr="00EA3863">
        <w:rPr>
          <w:rFonts w:ascii="Times New Roman" w:eastAsia="Arial Unicode MS" w:hAnsi="Times New Roman"/>
          <w:color w:val="000000"/>
          <w:kern w:val="1"/>
          <w:sz w:val="22"/>
          <w:szCs w:val="22"/>
          <w:lang w:eastAsia="hi-IN" w:bidi="hi-IN"/>
        </w:rPr>
        <w:t>Al Ministero dell’Economia e Finanze</w:t>
      </w:r>
    </w:p>
    <w:p w:rsidR="006954C1" w:rsidRPr="00EA3863" w:rsidRDefault="006954C1" w:rsidP="006954C1">
      <w:pPr>
        <w:widowControl w:val="0"/>
        <w:jc w:val="right"/>
        <w:rPr>
          <w:rFonts w:ascii="Times New Roman" w:eastAsia="Arial Unicode MS" w:hAnsi="Times New Roman"/>
          <w:color w:val="000000"/>
          <w:kern w:val="1"/>
          <w:sz w:val="22"/>
          <w:szCs w:val="22"/>
          <w:lang w:eastAsia="hi-IN" w:bidi="hi-IN"/>
        </w:rPr>
      </w:pPr>
      <w:r w:rsidRPr="00EA3863">
        <w:rPr>
          <w:rFonts w:ascii="Times New Roman" w:eastAsia="Arial Unicode MS" w:hAnsi="Times New Roman"/>
          <w:color w:val="000000"/>
          <w:kern w:val="1"/>
          <w:sz w:val="22"/>
          <w:szCs w:val="22"/>
          <w:lang w:eastAsia="hi-IN" w:bidi="hi-IN"/>
        </w:rPr>
        <w:t>Ragioneria Generale dello Stato</w:t>
      </w:r>
    </w:p>
    <w:p w:rsidR="006954C1" w:rsidRPr="00EA3863" w:rsidRDefault="006954C1" w:rsidP="006954C1">
      <w:pPr>
        <w:widowControl w:val="0"/>
        <w:jc w:val="right"/>
        <w:rPr>
          <w:rFonts w:ascii="Times New Roman" w:eastAsia="Arial Unicode MS" w:hAnsi="Times New Roman"/>
          <w:color w:val="000000"/>
          <w:kern w:val="1"/>
          <w:sz w:val="22"/>
          <w:szCs w:val="22"/>
          <w:lang w:eastAsia="hi-IN" w:bidi="hi-IN"/>
        </w:rPr>
      </w:pPr>
      <w:r w:rsidRPr="00EA3863">
        <w:rPr>
          <w:rFonts w:ascii="Times New Roman" w:eastAsia="Arial Unicode MS" w:hAnsi="Times New Roman"/>
          <w:color w:val="000000"/>
          <w:kern w:val="1"/>
          <w:sz w:val="22"/>
          <w:szCs w:val="22"/>
          <w:lang w:eastAsia="hi-IN" w:bidi="hi-IN"/>
        </w:rPr>
        <w:t>Ispettorato generale per gli ordinamenti del personale e l’analisi del costo del lavoro pubblico</w:t>
      </w:r>
    </w:p>
    <w:p w:rsidR="006954C1" w:rsidRPr="00EA3863" w:rsidRDefault="006954C1" w:rsidP="006954C1">
      <w:pPr>
        <w:widowControl w:val="0"/>
        <w:jc w:val="right"/>
        <w:rPr>
          <w:rFonts w:ascii="Times New Roman" w:eastAsia="Arial Unicode MS" w:hAnsi="Times New Roman"/>
          <w:color w:val="000000"/>
          <w:kern w:val="1"/>
          <w:sz w:val="22"/>
          <w:szCs w:val="22"/>
          <w:lang w:eastAsia="hi-IN" w:bidi="hi-IN"/>
        </w:rPr>
      </w:pPr>
    </w:p>
    <w:p w:rsidR="006954C1" w:rsidRPr="00EA3863" w:rsidRDefault="006954C1" w:rsidP="006954C1">
      <w:pPr>
        <w:widowControl w:val="0"/>
        <w:jc w:val="right"/>
        <w:rPr>
          <w:rFonts w:ascii="Times New Roman" w:eastAsia="Arial Unicode MS" w:hAnsi="Times New Roman"/>
          <w:color w:val="000000"/>
          <w:kern w:val="1"/>
          <w:sz w:val="22"/>
          <w:szCs w:val="22"/>
          <w:lang w:eastAsia="hi-IN" w:bidi="hi-IN"/>
        </w:rPr>
      </w:pPr>
    </w:p>
    <w:p w:rsidR="006954C1" w:rsidRPr="00EA3863" w:rsidRDefault="006954C1" w:rsidP="006954C1">
      <w:pPr>
        <w:widowControl w:val="0"/>
        <w:jc w:val="right"/>
        <w:rPr>
          <w:rFonts w:ascii="Times New Roman" w:eastAsia="Arial Unicode MS" w:hAnsi="Times New Roman"/>
          <w:color w:val="000000"/>
          <w:kern w:val="1"/>
          <w:sz w:val="22"/>
          <w:szCs w:val="22"/>
          <w:lang w:eastAsia="hi-IN" w:bidi="hi-IN"/>
        </w:rPr>
      </w:pPr>
      <w:r w:rsidRPr="00EA3863">
        <w:rPr>
          <w:rFonts w:ascii="Times New Roman" w:eastAsia="Arial Unicode MS" w:hAnsi="Times New Roman"/>
          <w:color w:val="000000"/>
          <w:kern w:val="1"/>
          <w:sz w:val="22"/>
          <w:szCs w:val="22"/>
          <w:lang w:eastAsia="hi-IN" w:bidi="hi-IN"/>
        </w:rPr>
        <w:t>e.p.c. Al Ragionerie Generale dello Stato</w:t>
      </w:r>
    </w:p>
    <w:p w:rsidR="006954C1" w:rsidRPr="00EA3863" w:rsidRDefault="006954C1" w:rsidP="006954C1">
      <w:pPr>
        <w:widowControl w:val="0"/>
        <w:jc w:val="right"/>
        <w:rPr>
          <w:rFonts w:ascii="Times New Roman" w:eastAsia="Arial Unicode MS" w:hAnsi="Times New Roman"/>
          <w:color w:val="000000"/>
          <w:kern w:val="1"/>
          <w:sz w:val="22"/>
          <w:szCs w:val="22"/>
          <w:lang w:eastAsia="hi-IN" w:bidi="hi-IN"/>
        </w:rPr>
      </w:pPr>
      <w:r w:rsidRPr="00EA3863">
        <w:rPr>
          <w:rFonts w:ascii="Times New Roman" w:eastAsia="Arial Unicode MS" w:hAnsi="Times New Roman"/>
          <w:color w:val="000000"/>
          <w:kern w:val="1"/>
          <w:sz w:val="22"/>
          <w:szCs w:val="22"/>
          <w:lang w:eastAsia="hi-IN" w:bidi="hi-IN"/>
        </w:rPr>
        <w:t>Dott. Daniele Franco</w:t>
      </w:r>
    </w:p>
    <w:p w:rsidR="006954C1" w:rsidRPr="00EA3863" w:rsidRDefault="006954C1" w:rsidP="006954C1">
      <w:pPr>
        <w:widowControl w:val="0"/>
        <w:jc w:val="right"/>
        <w:rPr>
          <w:rFonts w:ascii="Times New Roman" w:eastAsia="Arial Unicode MS" w:hAnsi="Times New Roman"/>
          <w:color w:val="000000"/>
          <w:kern w:val="1"/>
          <w:sz w:val="22"/>
          <w:szCs w:val="22"/>
          <w:lang w:eastAsia="hi-IN" w:bidi="hi-IN"/>
        </w:rPr>
      </w:pPr>
    </w:p>
    <w:p w:rsidR="006954C1" w:rsidRPr="00EA3863" w:rsidRDefault="006954C1" w:rsidP="006954C1">
      <w:pPr>
        <w:widowControl w:val="0"/>
        <w:jc w:val="right"/>
        <w:rPr>
          <w:rFonts w:ascii="Times New Roman" w:eastAsia="Arial Unicode MS" w:hAnsi="Times New Roman"/>
          <w:color w:val="000000"/>
          <w:kern w:val="1"/>
          <w:sz w:val="22"/>
          <w:szCs w:val="22"/>
          <w:lang w:eastAsia="hi-IN" w:bidi="hi-IN"/>
        </w:rPr>
      </w:pPr>
      <w:r w:rsidRPr="00EA3863">
        <w:rPr>
          <w:rFonts w:ascii="Times New Roman" w:eastAsia="Arial Unicode MS" w:hAnsi="Times New Roman"/>
          <w:color w:val="000000"/>
          <w:kern w:val="1"/>
          <w:sz w:val="22"/>
          <w:szCs w:val="22"/>
          <w:lang w:eastAsia="hi-IN" w:bidi="hi-IN"/>
        </w:rPr>
        <w:t>Al Capo di Gabinetto</w:t>
      </w:r>
    </w:p>
    <w:p w:rsidR="006954C1" w:rsidRPr="00EA3863" w:rsidRDefault="006954C1" w:rsidP="006954C1">
      <w:pPr>
        <w:widowControl w:val="0"/>
        <w:jc w:val="right"/>
        <w:rPr>
          <w:rFonts w:ascii="Times New Roman" w:eastAsia="Arial Unicode MS" w:hAnsi="Times New Roman"/>
          <w:color w:val="000000"/>
          <w:kern w:val="1"/>
          <w:sz w:val="22"/>
          <w:szCs w:val="22"/>
          <w:lang w:eastAsia="hi-IN" w:bidi="hi-IN"/>
        </w:rPr>
      </w:pPr>
      <w:proofErr w:type="spellStart"/>
      <w:r w:rsidRPr="00EA3863">
        <w:rPr>
          <w:rFonts w:ascii="Times New Roman" w:eastAsia="Arial Unicode MS" w:hAnsi="Times New Roman"/>
          <w:color w:val="000000"/>
          <w:kern w:val="1"/>
          <w:sz w:val="22"/>
          <w:szCs w:val="22"/>
          <w:lang w:eastAsia="hi-IN" w:bidi="hi-IN"/>
        </w:rPr>
        <w:t>Cons</w:t>
      </w:r>
      <w:proofErr w:type="spellEnd"/>
      <w:r w:rsidRPr="00EA3863">
        <w:rPr>
          <w:rFonts w:ascii="Times New Roman" w:eastAsia="Arial Unicode MS" w:hAnsi="Times New Roman"/>
          <w:color w:val="000000"/>
          <w:kern w:val="1"/>
          <w:sz w:val="22"/>
          <w:szCs w:val="22"/>
          <w:lang w:eastAsia="hi-IN" w:bidi="hi-IN"/>
        </w:rPr>
        <w:t>. Daniele Cabras</w:t>
      </w:r>
    </w:p>
    <w:p w:rsidR="006954C1" w:rsidRPr="00EA3863" w:rsidRDefault="006954C1" w:rsidP="006954C1">
      <w:pPr>
        <w:widowControl w:val="0"/>
        <w:jc w:val="right"/>
        <w:rPr>
          <w:rFonts w:ascii="Times New Roman" w:eastAsia="Arial Unicode MS" w:hAnsi="Times New Roman"/>
          <w:i/>
          <w:color w:val="000000"/>
          <w:kern w:val="1"/>
          <w:sz w:val="22"/>
          <w:szCs w:val="22"/>
          <w:lang w:eastAsia="hi-IN" w:bidi="hi-IN"/>
        </w:rPr>
      </w:pPr>
    </w:p>
    <w:p w:rsidR="006954C1" w:rsidRPr="00EA3863" w:rsidRDefault="006954C1" w:rsidP="006954C1">
      <w:pPr>
        <w:widowControl w:val="0"/>
        <w:jc w:val="right"/>
        <w:rPr>
          <w:rFonts w:ascii="Times New Roman" w:eastAsia="Arial Unicode MS" w:hAnsi="Times New Roman"/>
          <w:i/>
          <w:color w:val="000000"/>
          <w:kern w:val="1"/>
          <w:sz w:val="22"/>
          <w:szCs w:val="22"/>
          <w:lang w:eastAsia="hi-IN" w:bidi="hi-IN"/>
        </w:rPr>
      </w:pPr>
    </w:p>
    <w:p w:rsidR="006954C1" w:rsidRPr="00EA3863" w:rsidRDefault="006954C1" w:rsidP="006954C1">
      <w:pPr>
        <w:widowControl w:val="0"/>
        <w:spacing w:line="283" w:lineRule="atLeast"/>
        <w:ind w:right="423"/>
        <w:rPr>
          <w:rFonts w:ascii="Times New Roman" w:eastAsia="Arial Unicode MS" w:hAnsi="Times New Roman"/>
          <w:b/>
          <w:bCs/>
          <w:color w:val="000000"/>
          <w:kern w:val="1"/>
          <w:sz w:val="22"/>
          <w:szCs w:val="22"/>
          <w:lang w:eastAsia="hi-IN" w:bidi="hi-IN"/>
        </w:rPr>
      </w:pPr>
    </w:p>
    <w:p w:rsidR="006954C1" w:rsidRPr="00EA3863" w:rsidRDefault="006954C1" w:rsidP="006954C1">
      <w:pPr>
        <w:widowControl w:val="0"/>
        <w:spacing w:line="283" w:lineRule="atLeast"/>
        <w:ind w:right="423"/>
        <w:rPr>
          <w:rFonts w:ascii="Times New Roman" w:eastAsia="Arial Unicode MS" w:hAnsi="Times New Roman"/>
          <w:b/>
          <w:bCs/>
          <w:color w:val="000000"/>
          <w:kern w:val="1"/>
          <w:sz w:val="22"/>
          <w:szCs w:val="22"/>
          <w:lang w:eastAsia="hi-IN" w:bidi="hi-IN"/>
        </w:rPr>
      </w:pPr>
    </w:p>
    <w:p w:rsidR="006954C1" w:rsidRPr="00EA3863" w:rsidRDefault="006954C1" w:rsidP="006954C1">
      <w:pPr>
        <w:widowControl w:val="0"/>
        <w:ind w:left="284" w:right="423"/>
        <w:jc w:val="center"/>
        <w:rPr>
          <w:rFonts w:ascii="Times New Roman" w:eastAsia="Arial Unicode MS" w:hAnsi="Times New Roman"/>
          <w:b/>
          <w:bCs/>
          <w:color w:val="000000"/>
          <w:kern w:val="1"/>
          <w:sz w:val="22"/>
          <w:szCs w:val="22"/>
          <w:lang w:eastAsia="hi-IN" w:bidi="hi-IN"/>
        </w:rPr>
      </w:pPr>
      <w:r w:rsidRPr="00EA3863">
        <w:rPr>
          <w:rFonts w:ascii="Times New Roman" w:eastAsia="Arial Unicode MS" w:hAnsi="Times New Roman"/>
          <w:b/>
          <w:bCs/>
          <w:color w:val="000000"/>
          <w:kern w:val="1"/>
          <w:sz w:val="22"/>
          <w:szCs w:val="22"/>
          <w:lang w:eastAsia="hi-IN" w:bidi="hi-IN"/>
        </w:rPr>
        <w:t xml:space="preserve">ATTO DI SIGNIFICAZIONE, DIFFIDA E MESSA IN MORA </w:t>
      </w:r>
    </w:p>
    <w:p w:rsidR="006954C1" w:rsidRPr="00EA3863" w:rsidRDefault="006954C1" w:rsidP="006954C1">
      <w:pPr>
        <w:widowControl w:val="0"/>
        <w:rPr>
          <w:rFonts w:ascii="Times New Roman" w:eastAsia="Arial Unicode MS" w:hAnsi="Times New Roman"/>
          <w:color w:val="000000"/>
          <w:kern w:val="1"/>
          <w:sz w:val="22"/>
          <w:szCs w:val="22"/>
          <w:lang w:eastAsia="hi-IN" w:bidi="hi-IN"/>
        </w:rPr>
      </w:pPr>
    </w:p>
    <w:p w:rsidR="006954C1" w:rsidRPr="00EA3863" w:rsidRDefault="006954C1" w:rsidP="006954C1">
      <w:pPr>
        <w:widowControl w:val="0"/>
        <w:spacing w:before="100"/>
        <w:rPr>
          <w:rFonts w:ascii="Times New Roman" w:eastAsia="Arial Unicode MS" w:hAnsi="Times New Roman"/>
          <w:color w:val="000000"/>
          <w:kern w:val="1"/>
          <w:sz w:val="22"/>
          <w:szCs w:val="22"/>
          <w:lang w:eastAsia="hi-IN" w:bidi="hi-IN"/>
        </w:rPr>
      </w:pPr>
      <w:r w:rsidRPr="00EA3863">
        <w:rPr>
          <w:rFonts w:ascii="Times New Roman" w:eastAsia="Arial Unicode MS" w:hAnsi="Times New Roman"/>
          <w:color w:val="000000"/>
          <w:kern w:val="1"/>
          <w:sz w:val="22"/>
          <w:szCs w:val="22"/>
          <w:lang w:eastAsia="hi-IN" w:bidi="hi-IN"/>
        </w:rPr>
        <w:t xml:space="preserve">La CISL SCUOLA, la UIL SCUOLA, lo SNALS </w:t>
      </w:r>
      <w:proofErr w:type="spellStart"/>
      <w:r w:rsidRPr="00EA3863">
        <w:rPr>
          <w:rFonts w:ascii="Times New Roman" w:eastAsia="Arial Unicode MS" w:hAnsi="Times New Roman"/>
          <w:color w:val="000000"/>
          <w:kern w:val="1"/>
          <w:sz w:val="22"/>
          <w:szCs w:val="22"/>
          <w:lang w:eastAsia="hi-IN" w:bidi="hi-IN"/>
        </w:rPr>
        <w:t>Confsal</w:t>
      </w:r>
      <w:proofErr w:type="spellEnd"/>
      <w:r w:rsidRPr="00EA3863">
        <w:rPr>
          <w:rFonts w:ascii="Times New Roman" w:eastAsia="Arial Unicode MS" w:hAnsi="Times New Roman"/>
          <w:color w:val="000000"/>
          <w:kern w:val="1"/>
          <w:sz w:val="22"/>
          <w:szCs w:val="22"/>
          <w:lang w:eastAsia="hi-IN" w:bidi="hi-IN"/>
        </w:rPr>
        <w:t xml:space="preserve"> e la GILDA </w:t>
      </w:r>
      <w:proofErr w:type="spellStart"/>
      <w:r w:rsidRPr="00EA3863">
        <w:rPr>
          <w:rFonts w:ascii="Times New Roman" w:eastAsia="Arial Unicode MS" w:hAnsi="Times New Roman"/>
          <w:color w:val="000000"/>
          <w:kern w:val="1"/>
          <w:sz w:val="22"/>
          <w:szCs w:val="22"/>
          <w:lang w:eastAsia="hi-IN" w:bidi="hi-IN"/>
        </w:rPr>
        <w:t>Unams</w:t>
      </w:r>
      <w:proofErr w:type="spellEnd"/>
      <w:r w:rsidRPr="00EA3863">
        <w:rPr>
          <w:rFonts w:ascii="Times New Roman" w:eastAsia="Arial Unicode MS" w:hAnsi="Times New Roman"/>
          <w:color w:val="000000"/>
          <w:kern w:val="1"/>
          <w:sz w:val="22"/>
          <w:szCs w:val="22"/>
          <w:lang w:eastAsia="hi-IN" w:bidi="hi-IN"/>
        </w:rPr>
        <w:t xml:space="preserve">, in persona dei rispettivi rappresentanti legali, Francesco Scrima, Massimo Di Menna, Marco Paolo </w:t>
      </w:r>
      <w:proofErr w:type="spellStart"/>
      <w:r w:rsidRPr="00EA3863">
        <w:rPr>
          <w:rFonts w:ascii="Times New Roman" w:eastAsia="Arial Unicode MS" w:hAnsi="Times New Roman"/>
          <w:color w:val="000000"/>
          <w:kern w:val="1"/>
          <w:sz w:val="22"/>
          <w:szCs w:val="22"/>
          <w:lang w:eastAsia="hi-IN" w:bidi="hi-IN"/>
        </w:rPr>
        <w:t>Nigi</w:t>
      </w:r>
      <w:proofErr w:type="spellEnd"/>
      <w:r w:rsidRPr="00EA3863">
        <w:rPr>
          <w:rFonts w:ascii="Times New Roman" w:eastAsia="Arial Unicode MS" w:hAnsi="Times New Roman"/>
          <w:color w:val="000000"/>
          <w:kern w:val="1"/>
          <w:sz w:val="22"/>
          <w:szCs w:val="22"/>
          <w:lang w:eastAsia="hi-IN" w:bidi="hi-IN"/>
        </w:rPr>
        <w:t xml:space="preserve">, e Rino Di Meglio, per nome e per conto del personale ATA del comparto </w:t>
      </w:r>
    </w:p>
    <w:p w:rsidR="006954C1" w:rsidRPr="00EA3863" w:rsidRDefault="006954C1" w:rsidP="006954C1">
      <w:pPr>
        <w:widowControl w:val="0"/>
        <w:spacing w:before="100"/>
        <w:rPr>
          <w:rFonts w:ascii="Times New Roman" w:eastAsia="Arial Unicode MS" w:hAnsi="Times New Roman"/>
          <w:color w:val="000000"/>
          <w:kern w:val="1"/>
          <w:sz w:val="22"/>
          <w:szCs w:val="22"/>
          <w:lang w:eastAsia="hi-IN" w:bidi="hi-IN"/>
        </w:rPr>
      </w:pPr>
      <w:r w:rsidRPr="00EA3863">
        <w:rPr>
          <w:rFonts w:ascii="Times New Roman" w:eastAsia="Arial Unicode MS" w:hAnsi="Times New Roman"/>
          <w:color w:val="000000"/>
          <w:kern w:val="1"/>
          <w:sz w:val="22"/>
          <w:szCs w:val="22"/>
          <w:lang w:eastAsia="hi-IN" w:bidi="hi-IN"/>
        </w:rPr>
        <w:t xml:space="preserve">vista la nota </w:t>
      </w:r>
      <w:proofErr w:type="spellStart"/>
      <w:r w:rsidRPr="00EA3863">
        <w:rPr>
          <w:rFonts w:ascii="Times New Roman" w:eastAsia="Arial Unicode MS" w:hAnsi="Times New Roman"/>
          <w:color w:val="000000"/>
          <w:kern w:val="1"/>
          <w:sz w:val="22"/>
          <w:szCs w:val="22"/>
          <w:lang w:eastAsia="hi-IN" w:bidi="hi-IN"/>
        </w:rPr>
        <w:t>prot</w:t>
      </w:r>
      <w:proofErr w:type="spellEnd"/>
      <w:r w:rsidRPr="00EA3863">
        <w:rPr>
          <w:rFonts w:ascii="Times New Roman" w:eastAsia="Arial Unicode MS" w:hAnsi="Times New Roman"/>
          <w:color w:val="000000"/>
          <w:kern w:val="1"/>
          <w:sz w:val="22"/>
          <w:szCs w:val="22"/>
          <w:lang w:eastAsia="hi-IN" w:bidi="hi-IN"/>
        </w:rPr>
        <w:t>. n. 353 del 5 febbraio 2014 con cui il Dipartimento per l’Istruzione del Ministero dell’Istruzione, dell’Università e della Ricerca ha disposto il blocco dell’erogazione del beneficio economico nonché il recupero delle somme erogate dal 1° settembre 2013 per la liquidazione del beneficio;</w:t>
      </w:r>
    </w:p>
    <w:p w:rsidR="006954C1" w:rsidRPr="00EA3863" w:rsidRDefault="006954C1" w:rsidP="006954C1">
      <w:pPr>
        <w:widowControl w:val="0"/>
        <w:spacing w:before="100"/>
        <w:rPr>
          <w:rFonts w:ascii="Times New Roman" w:eastAsia="Arial Unicode MS" w:hAnsi="Times New Roman"/>
          <w:color w:val="000000"/>
          <w:kern w:val="1"/>
          <w:sz w:val="22"/>
          <w:szCs w:val="22"/>
          <w:lang w:eastAsia="hi-IN" w:bidi="hi-IN"/>
        </w:rPr>
      </w:pPr>
      <w:r w:rsidRPr="00EA3863">
        <w:rPr>
          <w:rFonts w:ascii="Times New Roman" w:eastAsia="Arial Unicode MS" w:hAnsi="Times New Roman"/>
          <w:color w:val="000000"/>
          <w:kern w:val="1"/>
          <w:sz w:val="22"/>
          <w:szCs w:val="22"/>
          <w:lang w:eastAsia="hi-IN" w:bidi="hi-IN"/>
        </w:rPr>
        <w:t>considerato che:</w:t>
      </w:r>
    </w:p>
    <w:p w:rsidR="006954C1" w:rsidRPr="00EA3863" w:rsidRDefault="006954C1" w:rsidP="006954C1">
      <w:pPr>
        <w:widowControl w:val="0"/>
        <w:numPr>
          <w:ilvl w:val="0"/>
          <w:numId w:val="1"/>
        </w:numPr>
        <w:tabs>
          <w:tab w:val="clear" w:pos="397"/>
          <w:tab w:val="clear" w:pos="851"/>
          <w:tab w:val="clear" w:pos="1247"/>
          <w:tab w:val="clear" w:pos="5670"/>
          <w:tab w:val="clear" w:pos="7088"/>
        </w:tabs>
        <w:spacing w:before="100"/>
        <w:rPr>
          <w:rFonts w:ascii="Times New Roman" w:eastAsia="Arial Unicode MS" w:hAnsi="Times New Roman"/>
          <w:i/>
          <w:color w:val="000000"/>
          <w:kern w:val="1"/>
          <w:sz w:val="22"/>
          <w:szCs w:val="22"/>
          <w:lang w:eastAsia="hi-IN" w:bidi="hi-IN"/>
        </w:rPr>
      </w:pPr>
      <w:r w:rsidRPr="00EA3863">
        <w:rPr>
          <w:rFonts w:ascii="Times New Roman" w:eastAsia="Arial Unicode MS" w:hAnsi="Times New Roman"/>
          <w:color w:val="000000"/>
          <w:kern w:val="1"/>
          <w:sz w:val="22"/>
          <w:szCs w:val="22"/>
          <w:lang w:eastAsia="hi-IN" w:bidi="hi-IN"/>
        </w:rPr>
        <w:t>l’art. 50, comma 1, del CCNL del comparto scuola prevede che “il personale</w:t>
      </w:r>
      <w:r w:rsidRPr="00EA3863">
        <w:rPr>
          <w:rFonts w:ascii="Times New Roman" w:eastAsia="Arial Unicode MS" w:hAnsi="Times New Roman"/>
          <w:b/>
          <w:i/>
          <w:color w:val="000000"/>
          <w:kern w:val="1"/>
          <w:sz w:val="22"/>
          <w:szCs w:val="22"/>
          <w:lang w:eastAsia="hi-IN" w:bidi="hi-IN"/>
        </w:rPr>
        <w:t xml:space="preserve"> a tempo indeterminato appartenente alle aree A e B della Tabella C del CCNL può usufruire di una delle posizioni economiche finalizzate alla valorizzazione professionale</w:t>
      </w:r>
      <w:r w:rsidRPr="00EA3863">
        <w:rPr>
          <w:rFonts w:ascii="Times New Roman" w:eastAsia="Arial Unicode MS" w:hAnsi="Times New Roman"/>
          <w:i/>
          <w:color w:val="000000"/>
          <w:kern w:val="1"/>
          <w:sz w:val="22"/>
          <w:szCs w:val="22"/>
          <w:lang w:eastAsia="hi-IN" w:bidi="hi-IN"/>
        </w:rPr>
        <w:t>. La prima posizione economica è determinata in euro 600 annui da corrispondere in tredici mensilità al personale dell’Area A, e in Euro 1200 annui da corrispondere in tredici mensilità al personale dell’Area B. L’attribuzione di questa posizione economica avviene progressivamente dopo l’esito favorevole della frequenza di apposito corso di formazione diretto al personale utilmente collocato in una graduatoria di richiedenti, che sarà formulata in base alla valutazione del servizio prestato, dei titoli di studio posseduti e dei crediti professionali maturati. Il titolare della predetta posizione economica dell’Area B può sostituire il DSGA”</w:t>
      </w:r>
    </w:p>
    <w:p w:rsidR="006954C1" w:rsidRPr="00EA3863" w:rsidRDefault="006954C1" w:rsidP="006954C1">
      <w:pPr>
        <w:widowControl w:val="0"/>
        <w:numPr>
          <w:ilvl w:val="0"/>
          <w:numId w:val="1"/>
        </w:numPr>
        <w:tabs>
          <w:tab w:val="clear" w:pos="397"/>
          <w:tab w:val="clear" w:pos="851"/>
          <w:tab w:val="clear" w:pos="1247"/>
          <w:tab w:val="clear" w:pos="5670"/>
          <w:tab w:val="clear" w:pos="7088"/>
        </w:tabs>
        <w:spacing w:before="100"/>
        <w:rPr>
          <w:rFonts w:ascii="Times New Roman" w:hAnsi="Times New Roman"/>
          <w:bCs/>
          <w:color w:val="000000"/>
          <w:sz w:val="22"/>
          <w:szCs w:val="22"/>
        </w:rPr>
      </w:pPr>
      <w:r w:rsidRPr="00EA3863">
        <w:rPr>
          <w:rFonts w:ascii="Times New Roman" w:hAnsi="Times New Roman"/>
          <w:bCs/>
          <w:color w:val="000000"/>
          <w:sz w:val="22"/>
          <w:szCs w:val="22"/>
        </w:rPr>
        <w:t xml:space="preserve">il comma 3 dell’art. 50 prevede che </w:t>
      </w:r>
      <w:r w:rsidRPr="00EA3863">
        <w:rPr>
          <w:rFonts w:ascii="Times New Roman" w:hAnsi="Times New Roman"/>
          <w:bCs/>
          <w:i/>
          <w:color w:val="000000"/>
          <w:sz w:val="22"/>
          <w:szCs w:val="22"/>
        </w:rPr>
        <w:t xml:space="preserve">“La seconda posizione economica è determinata in euro 1800 annui da corrispondere in tredici mensilità al personale dell’area B. L’attribuzione di questa posizione economica avviene progressivamente dopo l’esito favorevole della frequenza di apposito </w:t>
      </w:r>
      <w:r w:rsidRPr="00EA3863">
        <w:rPr>
          <w:rFonts w:ascii="Times New Roman" w:hAnsi="Times New Roman"/>
          <w:bCs/>
          <w:i/>
          <w:color w:val="000000"/>
          <w:sz w:val="22"/>
          <w:szCs w:val="22"/>
        </w:rPr>
        <w:lastRenderedPageBreak/>
        <w:t>corso di formazione, diretto al personale utilmente collocato in una graduatoria di richiedenti che sarà formata previo superamento di prova selettiva anche mediante somministrazione di test”</w:t>
      </w:r>
      <w:r w:rsidRPr="00EA3863">
        <w:rPr>
          <w:rFonts w:ascii="Times New Roman" w:hAnsi="Times New Roman"/>
          <w:bCs/>
          <w:color w:val="000000"/>
          <w:sz w:val="22"/>
          <w:szCs w:val="22"/>
        </w:rPr>
        <w:t>;</w:t>
      </w:r>
    </w:p>
    <w:p w:rsidR="006954C1" w:rsidRPr="00EA3863" w:rsidRDefault="006954C1" w:rsidP="006954C1">
      <w:pPr>
        <w:widowControl w:val="0"/>
        <w:numPr>
          <w:ilvl w:val="0"/>
          <w:numId w:val="1"/>
        </w:numPr>
        <w:tabs>
          <w:tab w:val="clear" w:pos="397"/>
          <w:tab w:val="clear" w:pos="851"/>
          <w:tab w:val="clear" w:pos="1247"/>
          <w:tab w:val="clear" w:pos="5670"/>
          <w:tab w:val="clear" w:pos="7088"/>
        </w:tabs>
        <w:spacing w:before="100"/>
        <w:rPr>
          <w:rFonts w:ascii="Times New Roman" w:hAnsi="Times New Roman"/>
          <w:bCs/>
          <w:color w:val="000000"/>
          <w:sz w:val="22"/>
          <w:szCs w:val="22"/>
        </w:rPr>
      </w:pPr>
      <w:r w:rsidRPr="00EA3863">
        <w:rPr>
          <w:rFonts w:ascii="Times New Roman" w:hAnsi="Times New Roman"/>
          <w:bCs/>
          <w:color w:val="000000"/>
          <w:sz w:val="22"/>
          <w:szCs w:val="22"/>
        </w:rPr>
        <w:t>Il comma 4 prevede poi che la seconda posizione economica, non potrà essere cumulata con quella prevista dal comma 2. Il titolare della seconda posizione è tenuto alla sostituzione del DSGA per l’area amministrativa ed alla collaborazione con l’ufficio tecnico per l’area tecnica;</w:t>
      </w:r>
    </w:p>
    <w:p w:rsidR="006954C1" w:rsidRPr="00EA3863" w:rsidRDefault="006954C1" w:rsidP="006954C1">
      <w:pPr>
        <w:widowControl w:val="0"/>
        <w:numPr>
          <w:ilvl w:val="0"/>
          <w:numId w:val="1"/>
        </w:numPr>
        <w:tabs>
          <w:tab w:val="clear" w:pos="397"/>
          <w:tab w:val="clear" w:pos="851"/>
          <w:tab w:val="clear" w:pos="1247"/>
          <w:tab w:val="clear" w:pos="5670"/>
          <w:tab w:val="clear" w:pos="7088"/>
        </w:tabs>
        <w:spacing w:before="100"/>
        <w:rPr>
          <w:rFonts w:ascii="Times New Roman" w:hAnsi="Times New Roman"/>
          <w:bCs/>
          <w:color w:val="000000"/>
          <w:sz w:val="22"/>
          <w:szCs w:val="22"/>
        </w:rPr>
      </w:pPr>
      <w:r w:rsidRPr="00EA3863">
        <w:rPr>
          <w:rFonts w:ascii="Times New Roman" w:hAnsi="Times New Roman"/>
          <w:bCs/>
          <w:color w:val="000000"/>
          <w:sz w:val="22"/>
          <w:szCs w:val="22"/>
        </w:rPr>
        <w:t>l’Accordo tra il MIUR e le OO.SS firmato il 12 marzo 2009, concernente l’attuazione dell’art. 2, comma 3, della sequenza contrattuale sottoscritta il 25 luglio 2008 disciplina i criteri, le procedure e le modalità di attribuzione della seconda posizione economica orizzontale al personale dell’area B appartenente ai profili professionali di assistente amministrativo e di assistente tecnico della Tabella C allegata al CCNL del comparto scuola;</w:t>
      </w:r>
    </w:p>
    <w:p w:rsidR="006954C1" w:rsidRPr="00EA3863" w:rsidRDefault="006954C1" w:rsidP="006954C1">
      <w:pPr>
        <w:widowControl w:val="0"/>
        <w:numPr>
          <w:ilvl w:val="0"/>
          <w:numId w:val="1"/>
        </w:numPr>
        <w:tabs>
          <w:tab w:val="clear" w:pos="397"/>
          <w:tab w:val="clear" w:pos="851"/>
          <w:tab w:val="clear" w:pos="1247"/>
          <w:tab w:val="clear" w:pos="5670"/>
          <w:tab w:val="clear" w:pos="7088"/>
        </w:tabs>
        <w:spacing w:before="100"/>
        <w:rPr>
          <w:rFonts w:ascii="Times New Roman" w:hAnsi="Times New Roman"/>
          <w:b/>
          <w:bCs/>
          <w:i/>
          <w:color w:val="000000"/>
          <w:sz w:val="22"/>
          <w:szCs w:val="22"/>
        </w:rPr>
      </w:pPr>
      <w:r w:rsidRPr="00EA3863">
        <w:rPr>
          <w:rFonts w:ascii="Times New Roman" w:hAnsi="Times New Roman"/>
          <w:bCs/>
          <w:color w:val="000000"/>
          <w:sz w:val="22"/>
          <w:szCs w:val="22"/>
        </w:rPr>
        <w:t xml:space="preserve">l’Accordo nazionale evidenzia chiaramente che la </w:t>
      </w:r>
      <w:r w:rsidRPr="00EA3863">
        <w:rPr>
          <w:rFonts w:ascii="Times New Roman" w:hAnsi="Times New Roman"/>
          <w:b/>
          <w:bCs/>
          <w:i/>
          <w:color w:val="000000"/>
          <w:sz w:val="22"/>
          <w:szCs w:val="22"/>
        </w:rPr>
        <w:t>“posizione economica è attribuita a seguito della frequenza di uno specifico corso di formazione a cui accede il personale utilmente collocato in apposita graduatoria formulata sulla base del punteggio ottenuto per il superamento della prova selettiva sommato a quello dei titoli di studio, di servizio e dei crediti professionali posseduti dall’interessato;</w:t>
      </w:r>
    </w:p>
    <w:p w:rsidR="006954C1" w:rsidRPr="00EA3863" w:rsidRDefault="006954C1" w:rsidP="006954C1">
      <w:pPr>
        <w:spacing w:before="100"/>
        <w:rPr>
          <w:rFonts w:ascii="Times New Roman" w:hAnsi="Times New Roman"/>
          <w:bCs/>
          <w:color w:val="000000"/>
          <w:sz w:val="22"/>
          <w:szCs w:val="22"/>
        </w:rPr>
      </w:pPr>
      <w:r w:rsidRPr="00EA3863">
        <w:rPr>
          <w:rFonts w:ascii="Times New Roman" w:hAnsi="Times New Roman"/>
          <w:bCs/>
          <w:color w:val="000000"/>
          <w:sz w:val="22"/>
          <w:szCs w:val="22"/>
        </w:rPr>
        <w:t>considerato che:</w:t>
      </w:r>
    </w:p>
    <w:p w:rsidR="006954C1" w:rsidRPr="00EA3863" w:rsidRDefault="006954C1" w:rsidP="006954C1">
      <w:pPr>
        <w:widowControl w:val="0"/>
        <w:numPr>
          <w:ilvl w:val="0"/>
          <w:numId w:val="1"/>
        </w:numPr>
        <w:tabs>
          <w:tab w:val="clear" w:pos="397"/>
          <w:tab w:val="clear" w:pos="851"/>
          <w:tab w:val="clear" w:pos="1247"/>
          <w:tab w:val="clear" w:pos="5670"/>
          <w:tab w:val="clear" w:pos="7088"/>
        </w:tabs>
        <w:spacing w:before="100"/>
        <w:rPr>
          <w:rFonts w:ascii="Times New Roman" w:hAnsi="Times New Roman"/>
          <w:bCs/>
          <w:i/>
          <w:color w:val="000000"/>
          <w:sz w:val="22"/>
          <w:szCs w:val="22"/>
        </w:rPr>
      </w:pPr>
      <w:r w:rsidRPr="00EA3863">
        <w:rPr>
          <w:rFonts w:ascii="Times New Roman" w:hAnsi="Times New Roman"/>
          <w:color w:val="000000"/>
          <w:sz w:val="22"/>
          <w:szCs w:val="22"/>
        </w:rPr>
        <w:t xml:space="preserve">dalla ricostruzione normativa effettuata, risulta evidente che </w:t>
      </w:r>
      <w:r w:rsidRPr="00EA3863">
        <w:rPr>
          <w:rFonts w:ascii="Times New Roman" w:hAnsi="Times New Roman"/>
          <w:b/>
          <w:color w:val="000000"/>
          <w:sz w:val="22"/>
          <w:szCs w:val="22"/>
        </w:rPr>
        <w:t>il personale che ha acquisito le posizioni economiche e che svolge le mansioni superiori proprie della posizione formalizzate dai dirigenti scolastici con lettere di incarico, ha diritto a percepire il compenso in virtù della prestazione di lavoro richiesta e svolta;</w:t>
      </w:r>
    </w:p>
    <w:p w:rsidR="006954C1" w:rsidRPr="00EA3863" w:rsidRDefault="006954C1" w:rsidP="006954C1">
      <w:pPr>
        <w:widowControl w:val="0"/>
        <w:numPr>
          <w:ilvl w:val="0"/>
          <w:numId w:val="1"/>
        </w:numPr>
        <w:tabs>
          <w:tab w:val="clear" w:pos="397"/>
          <w:tab w:val="clear" w:pos="851"/>
          <w:tab w:val="clear" w:pos="1247"/>
          <w:tab w:val="clear" w:pos="5670"/>
          <w:tab w:val="clear" w:pos="7088"/>
        </w:tabs>
        <w:spacing w:before="100"/>
        <w:rPr>
          <w:rFonts w:ascii="Times New Roman" w:hAnsi="Times New Roman"/>
          <w:bCs/>
          <w:color w:val="000000"/>
          <w:sz w:val="22"/>
          <w:szCs w:val="22"/>
        </w:rPr>
      </w:pPr>
      <w:r w:rsidRPr="00EA3863">
        <w:rPr>
          <w:rFonts w:ascii="Times New Roman" w:hAnsi="Times New Roman"/>
          <w:bCs/>
          <w:color w:val="000000"/>
          <w:sz w:val="22"/>
          <w:szCs w:val="22"/>
        </w:rPr>
        <w:t xml:space="preserve">non può essere accettata alcuna interpretazione che arbitrariamente stabilisca di recuperare le somme già erogate in quanto nettamente in contrasto con i principi generali sanciti dal codice civile sull’adempimento delle obbligazioni in generale per cui, </w:t>
      </w:r>
      <w:r w:rsidRPr="00EA3863">
        <w:rPr>
          <w:rFonts w:ascii="Times New Roman" w:hAnsi="Times New Roman"/>
          <w:b/>
          <w:bCs/>
          <w:color w:val="000000"/>
          <w:sz w:val="22"/>
          <w:szCs w:val="22"/>
        </w:rPr>
        <w:t>a fronte di una obbligazione sinallagmatica quale è quella alla base di un rapporto di lavoro, dove le parti si impegnano reciprocamente ad adempiere quanto pattuito: prestazione di lavoro-retribuzione, non è accettabile che una delle due obbligazioni possa essere modificata unilateralmente dopo che l’altra è stata già adempiuta correttamente</w:t>
      </w:r>
      <w:r w:rsidRPr="00EA3863">
        <w:rPr>
          <w:rFonts w:ascii="Times New Roman" w:hAnsi="Times New Roman"/>
          <w:bCs/>
          <w:color w:val="000000"/>
          <w:sz w:val="22"/>
          <w:szCs w:val="22"/>
        </w:rPr>
        <w:t>;</w:t>
      </w:r>
    </w:p>
    <w:p w:rsidR="006954C1" w:rsidRPr="00EA3863" w:rsidRDefault="006954C1" w:rsidP="006954C1">
      <w:pPr>
        <w:widowControl w:val="0"/>
        <w:numPr>
          <w:ilvl w:val="0"/>
          <w:numId w:val="1"/>
        </w:numPr>
        <w:tabs>
          <w:tab w:val="clear" w:pos="397"/>
          <w:tab w:val="clear" w:pos="851"/>
          <w:tab w:val="clear" w:pos="1247"/>
          <w:tab w:val="clear" w:pos="5670"/>
          <w:tab w:val="clear" w:pos="7088"/>
        </w:tabs>
        <w:spacing w:before="100"/>
        <w:rPr>
          <w:rFonts w:ascii="Times New Roman" w:hAnsi="Times New Roman"/>
          <w:bCs/>
          <w:color w:val="000000"/>
          <w:sz w:val="22"/>
          <w:szCs w:val="22"/>
        </w:rPr>
      </w:pPr>
      <w:r w:rsidRPr="00EA3863">
        <w:rPr>
          <w:rFonts w:ascii="Times New Roman" w:hAnsi="Times New Roman"/>
          <w:bCs/>
          <w:color w:val="000000"/>
          <w:sz w:val="22"/>
          <w:szCs w:val="22"/>
        </w:rPr>
        <w:t>il debitore che non esegue correttamente la prestazione dovuta, è responsabile e pertanto tenuto al risarcimento (art.1218 c.c.);</w:t>
      </w:r>
    </w:p>
    <w:p w:rsidR="006954C1" w:rsidRPr="00EA3863" w:rsidRDefault="006954C1" w:rsidP="006954C1">
      <w:pPr>
        <w:widowControl w:val="0"/>
        <w:numPr>
          <w:ilvl w:val="0"/>
          <w:numId w:val="1"/>
        </w:numPr>
        <w:tabs>
          <w:tab w:val="clear" w:pos="397"/>
          <w:tab w:val="clear" w:pos="851"/>
          <w:tab w:val="clear" w:pos="1247"/>
          <w:tab w:val="clear" w:pos="5670"/>
          <w:tab w:val="clear" w:pos="7088"/>
        </w:tabs>
        <w:spacing w:before="100"/>
        <w:rPr>
          <w:rFonts w:ascii="Times New Roman" w:eastAsia="Arial Unicode MS" w:hAnsi="Times New Roman"/>
          <w:i/>
          <w:color w:val="000000"/>
          <w:kern w:val="1"/>
          <w:sz w:val="22"/>
          <w:szCs w:val="22"/>
          <w:lang w:eastAsia="hi-IN" w:bidi="hi-IN"/>
        </w:rPr>
      </w:pPr>
      <w:r w:rsidRPr="00EA3863">
        <w:rPr>
          <w:rFonts w:ascii="Times New Roman" w:hAnsi="Times New Roman"/>
          <w:bCs/>
          <w:color w:val="000000"/>
          <w:sz w:val="22"/>
          <w:szCs w:val="22"/>
        </w:rPr>
        <w:t xml:space="preserve">che l’art. 1453 del c.c. rubricato “Risolubilità del contratto per inadempimento”, prevede che </w:t>
      </w:r>
      <w:r w:rsidRPr="00EA3863">
        <w:rPr>
          <w:rFonts w:ascii="Times New Roman" w:hAnsi="Times New Roman"/>
          <w:bCs/>
          <w:i/>
          <w:color w:val="000000"/>
          <w:sz w:val="22"/>
          <w:szCs w:val="22"/>
        </w:rPr>
        <w:t>“nei contratti con prestazioni corrispettive, quando uno dei contraenti non adempie le sue obbligazioni, l'altro può a sua scelta chiedere l'adempimento o la risoluzione del contratto salvo, in ogni caso, il risarcimento del danno</w:t>
      </w:r>
      <w:r w:rsidRPr="00EA3863">
        <w:rPr>
          <w:rFonts w:ascii="Times New Roman" w:eastAsia="Arial Unicode MS" w:hAnsi="Times New Roman"/>
          <w:b/>
          <w:i/>
          <w:color w:val="000000"/>
          <w:kern w:val="1"/>
          <w:sz w:val="22"/>
          <w:szCs w:val="22"/>
          <w:lang w:eastAsia="hi-IN" w:bidi="hi-IN"/>
        </w:rPr>
        <w:t>”</w:t>
      </w:r>
    </w:p>
    <w:p w:rsidR="006954C1" w:rsidRPr="00EA3863" w:rsidRDefault="006954C1" w:rsidP="006954C1">
      <w:pPr>
        <w:spacing w:before="100"/>
        <w:rPr>
          <w:rFonts w:ascii="Times New Roman" w:hAnsi="Times New Roman"/>
          <w:b/>
          <w:bCs/>
          <w:color w:val="000000"/>
          <w:sz w:val="22"/>
          <w:szCs w:val="22"/>
        </w:rPr>
      </w:pPr>
      <w:r w:rsidRPr="00EA3863">
        <w:rPr>
          <w:rFonts w:ascii="Times New Roman" w:eastAsia="Arial Unicode MS" w:hAnsi="Times New Roman"/>
          <w:bCs/>
          <w:color w:val="000000"/>
          <w:kern w:val="1"/>
          <w:sz w:val="22"/>
          <w:szCs w:val="22"/>
          <w:lang w:eastAsia="hi-IN" w:bidi="hi-IN"/>
        </w:rPr>
        <w:t>tutto ciò premesso</w:t>
      </w:r>
    </w:p>
    <w:p w:rsidR="006954C1" w:rsidRPr="00EA3863" w:rsidRDefault="006954C1" w:rsidP="006954C1">
      <w:pPr>
        <w:spacing w:before="100"/>
        <w:jc w:val="center"/>
        <w:rPr>
          <w:rFonts w:ascii="Times New Roman" w:hAnsi="Times New Roman"/>
          <w:b/>
          <w:bCs/>
          <w:color w:val="000000"/>
          <w:sz w:val="22"/>
          <w:szCs w:val="22"/>
        </w:rPr>
      </w:pPr>
      <w:r w:rsidRPr="00EA3863">
        <w:rPr>
          <w:rFonts w:ascii="Times New Roman" w:hAnsi="Times New Roman"/>
          <w:b/>
          <w:bCs/>
          <w:color w:val="000000"/>
          <w:sz w:val="22"/>
          <w:szCs w:val="22"/>
        </w:rPr>
        <w:t>DIFFIDANO</w:t>
      </w:r>
    </w:p>
    <w:p w:rsidR="006954C1" w:rsidRPr="00EA3863" w:rsidRDefault="006954C1" w:rsidP="006954C1">
      <w:pPr>
        <w:widowControl w:val="0"/>
        <w:spacing w:before="100"/>
        <w:rPr>
          <w:rFonts w:ascii="Times New Roman" w:eastAsia="Arial Unicode MS" w:hAnsi="Times New Roman"/>
          <w:b/>
          <w:color w:val="000000"/>
          <w:kern w:val="1"/>
          <w:sz w:val="22"/>
          <w:szCs w:val="22"/>
          <w:lang w:eastAsia="hi-IN" w:bidi="hi-IN"/>
        </w:rPr>
      </w:pPr>
      <w:r w:rsidRPr="00EA3863">
        <w:rPr>
          <w:rFonts w:ascii="Times New Roman" w:hAnsi="Times New Roman"/>
          <w:bCs/>
          <w:color w:val="000000"/>
          <w:sz w:val="22"/>
          <w:szCs w:val="22"/>
        </w:rPr>
        <w:t xml:space="preserve">il Ministero dell’Istruzione, dell’Università e della Ricerca e, per quanto di rispettiva competenza le amministrazioni in indirizzo, dal disporre il blocco dell’erogazione del beneficio economico a titolo di valorizzazione professionale, e dal disporre il recupero </w:t>
      </w:r>
      <w:r w:rsidRPr="00EA3863">
        <w:rPr>
          <w:rFonts w:ascii="Times New Roman" w:eastAsia="Arial Unicode MS" w:hAnsi="Times New Roman"/>
          <w:color w:val="000000"/>
          <w:kern w:val="1"/>
          <w:sz w:val="22"/>
          <w:szCs w:val="22"/>
          <w:lang w:eastAsia="hi-IN" w:bidi="hi-IN"/>
        </w:rPr>
        <w:t>delle somme erogate a fronte di prestazioni di lavoro già svolte e pertanto legittimamente retribuite</w:t>
      </w:r>
    </w:p>
    <w:p w:rsidR="006954C1" w:rsidRPr="00EA3863" w:rsidRDefault="006954C1" w:rsidP="006954C1">
      <w:pPr>
        <w:spacing w:before="100"/>
        <w:jc w:val="center"/>
        <w:rPr>
          <w:rFonts w:ascii="Times New Roman" w:eastAsia="Arial Unicode MS" w:hAnsi="Times New Roman"/>
          <w:b/>
          <w:bCs/>
          <w:color w:val="000000"/>
          <w:kern w:val="1"/>
          <w:sz w:val="22"/>
          <w:szCs w:val="22"/>
          <w:lang w:eastAsia="hi-IN" w:bidi="hi-IN"/>
        </w:rPr>
      </w:pPr>
      <w:r w:rsidRPr="00EA3863">
        <w:rPr>
          <w:rFonts w:ascii="Times New Roman" w:eastAsia="Arial Unicode MS" w:hAnsi="Times New Roman"/>
          <w:b/>
          <w:bCs/>
          <w:color w:val="000000"/>
          <w:kern w:val="1"/>
          <w:sz w:val="22"/>
          <w:szCs w:val="22"/>
          <w:lang w:eastAsia="hi-IN" w:bidi="hi-IN"/>
        </w:rPr>
        <w:t>CON AVVERTENZA</w:t>
      </w:r>
    </w:p>
    <w:p w:rsidR="006954C1" w:rsidRPr="00EA3863" w:rsidRDefault="006954C1" w:rsidP="006954C1">
      <w:pPr>
        <w:spacing w:before="100"/>
        <w:rPr>
          <w:rFonts w:ascii="Times New Roman" w:hAnsi="Times New Roman"/>
          <w:b/>
          <w:color w:val="000000"/>
          <w:sz w:val="22"/>
          <w:szCs w:val="22"/>
        </w:rPr>
      </w:pPr>
      <w:r w:rsidRPr="00EA3863">
        <w:rPr>
          <w:rFonts w:ascii="Times New Roman" w:hAnsi="Times New Roman"/>
          <w:bCs/>
          <w:color w:val="000000"/>
          <w:sz w:val="22"/>
          <w:szCs w:val="22"/>
        </w:rPr>
        <w:t xml:space="preserve">che, trascorsi 30 giorni dalla ricezione della presente, in assenza di accoglimento di quanto richiesto, si agirà per nelle sedi competenti, a tutela del proprio diritto e per il risarcimento di tutti i danni subiti e </w:t>
      </w:r>
      <w:proofErr w:type="spellStart"/>
      <w:r w:rsidRPr="00EA3863">
        <w:rPr>
          <w:rFonts w:ascii="Times New Roman" w:hAnsi="Times New Roman"/>
          <w:bCs/>
          <w:color w:val="000000"/>
          <w:sz w:val="22"/>
          <w:szCs w:val="22"/>
        </w:rPr>
        <w:t>subendi</w:t>
      </w:r>
      <w:proofErr w:type="spellEnd"/>
      <w:r w:rsidRPr="00EA3863">
        <w:rPr>
          <w:rFonts w:ascii="Times New Roman" w:hAnsi="Times New Roman"/>
          <w:bCs/>
          <w:color w:val="000000"/>
          <w:sz w:val="22"/>
          <w:szCs w:val="22"/>
        </w:rPr>
        <w:t xml:space="preserve"> con aggravio di spese a Vostro carico.</w:t>
      </w:r>
    </w:p>
    <w:p w:rsidR="006954C1" w:rsidRPr="00EA3863" w:rsidRDefault="006954C1" w:rsidP="006954C1">
      <w:pPr>
        <w:widowControl w:val="0"/>
        <w:spacing w:before="100"/>
        <w:ind w:left="284"/>
        <w:rPr>
          <w:rFonts w:ascii="Times New Roman" w:hAnsi="Times New Roman"/>
          <w:bCs/>
          <w:color w:val="000000"/>
          <w:sz w:val="22"/>
          <w:szCs w:val="22"/>
        </w:rPr>
      </w:pPr>
      <w:r w:rsidRPr="00EA3863">
        <w:rPr>
          <w:rFonts w:ascii="Times New Roman" w:hAnsi="Times New Roman"/>
          <w:bCs/>
          <w:color w:val="000000"/>
          <w:sz w:val="22"/>
          <w:szCs w:val="22"/>
        </w:rPr>
        <w:t>Roma, 6 febbraio 2014</w:t>
      </w:r>
    </w:p>
    <w:p w:rsidR="006954C1" w:rsidRPr="00EA3863" w:rsidRDefault="006954C1" w:rsidP="006954C1">
      <w:pPr>
        <w:widowControl w:val="0"/>
        <w:rPr>
          <w:rFonts w:ascii="Times New Roman" w:eastAsia="Arial Unicode MS" w:hAnsi="Times New Roman"/>
          <w:color w:val="000000"/>
          <w:kern w:val="1"/>
          <w:sz w:val="22"/>
          <w:szCs w:val="22"/>
          <w:lang w:eastAsia="hi-IN" w:bidi="hi-IN"/>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2423"/>
        <w:gridCol w:w="2423"/>
        <w:gridCol w:w="2424"/>
        <w:gridCol w:w="2424"/>
      </w:tblGrid>
      <w:tr w:rsidR="006954C1" w:rsidRPr="00775D72" w:rsidTr="00A56764">
        <w:trPr>
          <w:jc w:val="center"/>
        </w:trPr>
        <w:tc>
          <w:tcPr>
            <w:tcW w:w="1250" w:type="pct"/>
            <w:vAlign w:val="center"/>
          </w:tcPr>
          <w:p w:rsidR="006954C1" w:rsidRDefault="006954C1" w:rsidP="00A56764">
            <w:pPr>
              <w:pStyle w:val="Contenutotabella"/>
              <w:snapToGrid w:val="0"/>
              <w:jc w:val="center"/>
              <w:rPr>
                <w:b/>
                <w:i/>
                <w:color w:val="000000"/>
                <w:sz w:val="22"/>
                <w:szCs w:val="22"/>
              </w:rPr>
            </w:pPr>
            <w:r>
              <w:rPr>
                <w:b/>
                <w:i/>
                <w:color w:val="000000"/>
                <w:sz w:val="22"/>
                <w:szCs w:val="22"/>
              </w:rPr>
              <w:t>CISL Scuola</w:t>
            </w:r>
          </w:p>
          <w:p w:rsidR="006954C1" w:rsidRPr="00775D72" w:rsidRDefault="006954C1" w:rsidP="00A56764">
            <w:pPr>
              <w:pStyle w:val="Contenutotabella"/>
              <w:snapToGrid w:val="0"/>
              <w:jc w:val="center"/>
              <w:rPr>
                <w:b/>
                <w:i/>
                <w:color w:val="000000"/>
                <w:sz w:val="22"/>
                <w:szCs w:val="22"/>
              </w:rPr>
            </w:pPr>
            <w:r w:rsidRPr="00775D72">
              <w:rPr>
                <w:b/>
                <w:i/>
                <w:color w:val="000000"/>
                <w:sz w:val="22"/>
                <w:szCs w:val="22"/>
              </w:rPr>
              <w:t>Francesco Scrima</w:t>
            </w:r>
          </w:p>
        </w:tc>
        <w:tc>
          <w:tcPr>
            <w:tcW w:w="1250" w:type="pct"/>
            <w:vAlign w:val="center"/>
          </w:tcPr>
          <w:p w:rsidR="006954C1" w:rsidRDefault="006954C1" w:rsidP="00A56764">
            <w:pPr>
              <w:pStyle w:val="Contenutotabella"/>
              <w:snapToGrid w:val="0"/>
              <w:jc w:val="center"/>
              <w:rPr>
                <w:b/>
                <w:i/>
                <w:color w:val="000000"/>
                <w:sz w:val="22"/>
                <w:szCs w:val="22"/>
              </w:rPr>
            </w:pPr>
            <w:r>
              <w:rPr>
                <w:b/>
                <w:i/>
                <w:color w:val="000000"/>
                <w:sz w:val="22"/>
                <w:szCs w:val="22"/>
              </w:rPr>
              <w:t xml:space="preserve">UIL Scuola </w:t>
            </w:r>
          </w:p>
          <w:p w:rsidR="006954C1" w:rsidRPr="00775D72" w:rsidRDefault="006954C1" w:rsidP="00A56764">
            <w:pPr>
              <w:pStyle w:val="Contenutotabella"/>
              <w:snapToGrid w:val="0"/>
              <w:jc w:val="center"/>
              <w:rPr>
                <w:b/>
                <w:i/>
                <w:color w:val="000000"/>
                <w:sz w:val="22"/>
                <w:szCs w:val="22"/>
              </w:rPr>
            </w:pPr>
            <w:r w:rsidRPr="00775D72">
              <w:rPr>
                <w:b/>
                <w:i/>
                <w:color w:val="000000"/>
                <w:sz w:val="22"/>
                <w:szCs w:val="22"/>
              </w:rPr>
              <w:t>Massimo Di Menna</w:t>
            </w:r>
          </w:p>
        </w:tc>
        <w:tc>
          <w:tcPr>
            <w:tcW w:w="1250" w:type="pct"/>
            <w:vAlign w:val="center"/>
          </w:tcPr>
          <w:p w:rsidR="006954C1" w:rsidRDefault="006954C1" w:rsidP="00A56764">
            <w:pPr>
              <w:pStyle w:val="Contenutotabella"/>
              <w:snapToGrid w:val="0"/>
              <w:jc w:val="center"/>
              <w:rPr>
                <w:b/>
                <w:i/>
                <w:color w:val="000000"/>
                <w:sz w:val="22"/>
                <w:szCs w:val="22"/>
              </w:rPr>
            </w:pPr>
            <w:r>
              <w:rPr>
                <w:b/>
                <w:i/>
                <w:color w:val="000000"/>
                <w:sz w:val="22"/>
                <w:szCs w:val="22"/>
              </w:rPr>
              <w:t>SNALS-</w:t>
            </w:r>
            <w:proofErr w:type="spellStart"/>
            <w:r>
              <w:rPr>
                <w:b/>
                <w:i/>
                <w:color w:val="000000"/>
                <w:sz w:val="22"/>
                <w:szCs w:val="22"/>
              </w:rPr>
              <w:t>Confsal</w:t>
            </w:r>
            <w:proofErr w:type="spellEnd"/>
          </w:p>
          <w:p w:rsidR="006954C1" w:rsidRPr="00775D72" w:rsidRDefault="006954C1" w:rsidP="00A56764">
            <w:pPr>
              <w:pStyle w:val="Contenutotabella"/>
              <w:snapToGrid w:val="0"/>
              <w:jc w:val="center"/>
              <w:rPr>
                <w:b/>
                <w:i/>
                <w:color w:val="000000"/>
                <w:sz w:val="22"/>
                <w:szCs w:val="22"/>
              </w:rPr>
            </w:pPr>
            <w:r w:rsidRPr="00775D72">
              <w:rPr>
                <w:b/>
                <w:i/>
                <w:color w:val="000000"/>
                <w:sz w:val="22"/>
                <w:szCs w:val="22"/>
              </w:rPr>
              <w:t xml:space="preserve">Marco Paolo </w:t>
            </w:r>
            <w:proofErr w:type="spellStart"/>
            <w:r w:rsidRPr="00775D72">
              <w:rPr>
                <w:b/>
                <w:i/>
                <w:color w:val="000000"/>
                <w:sz w:val="22"/>
                <w:szCs w:val="22"/>
              </w:rPr>
              <w:t>Nigi</w:t>
            </w:r>
            <w:proofErr w:type="spellEnd"/>
          </w:p>
        </w:tc>
        <w:tc>
          <w:tcPr>
            <w:tcW w:w="1250" w:type="pct"/>
            <w:vAlign w:val="center"/>
          </w:tcPr>
          <w:p w:rsidR="006954C1" w:rsidRDefault="006954C1" w:rsidP="00A56764">
            <w:pPr>
              <w:pStyle w:val="Contenutotabella"/>
              <w:snapToGrid w:val="0"/>
              <w:jc w:val="center"/>
              <w:rPr>
                <w:b/>
                <w:i/>
                <w:color w:val="000000"/>
                <w:sz w:val="22"/>
                <w:szCs w:val="22"/>
              </w:rPr>
            </w:pPr>
            <w:r>
              <w:rPr>
                <w:b/>
                <w:i/>
                <w:color w:val="000000"/>
                <w:sz w:val="22"/>
                <w:szCs w:val="22"/>
              </w:rPr>
              <w:t xml:space="preserve">GILDA </w:t>
            </w:r>
            <w:proofErr w:type="spellStart"/>
            <w:r>
              <w:rPr>
                <w:b/>
                <w:i/>
                <w:color w:val="000000"/>
                <w:sz w:val="22"/>
                <w:szCs w:val="22"/>
              </w:rPr>
              <w:t>Unams</w:t>
            </w:r>
            <w:proofErr w:type="spellEnd"/>
          </w:p>
          <w:p w:rsidR="006954C1" w:rsidRPr="00775D72" w:rsidRDefault="006954C1" w:rsidP="00A56764">
            <w:pPr>
              <w:pStyle w:val="Contenutotabella"/>
              <w:snapToGrid w:val="0"/>
              <w:jc w:val="center"/>
              <w:rPr>
                <w:b/>
                <w:i/>
                <w:color w:val="000000"/>
                <w:sz w:val="22"/>
                <w:szCs w:val="22"/>
              </w:rPr>
            </w:pPr>
            <w:r w:rsidRPr="00775D72">
              <w:rPr>
                <w:b/>
                <w:i/>
                <w:color w:val="000000"/>
                <w:sz w:val="22"/>
                <w:szCs w:val="22"/>
              </w:rPr>
              <w:t>Rino Di Meglio</w:t>
            </w:r>
          </w:p>
        </w:tc>
      </w:tr>
    </w:tbl>
    <w:p w:rsidR="006954C1" w:rsidRDefault="006954C1" w:rsidP="006954C1">
      <w:pPr>
        <w:pStyle w:val="NormaleWeb"/>
        <w:spacing w:before="0" w:after="0"/>
      </w:pPr>
    </w:p>
    <w:p w:rsidR="006954C1" w:rsidRPr="00775D72" w:rsidRDefault="006954C1" w:rsidP="006954C1">
      <w:pPr>
        <w:pStyle w:val="NormaleWeb"/>
        <w:spacing w:before="0" w:after="0"/>
        <w:jc w:val="center"/>
        <w:rPr>
          <w:rFonts w:ascii="Verdana" w:hAnsi="Verdana"/>
          <w:u w:val="single"/>
        </w:rPr>
      </w:pPr>
      <w:r>
        <w:br w:type="page"/>
      </w:r>
      <w:r w:rsidRPr="00775D72">
        <w:rPr>
          <w:rFonts w:ascii="Verdana" w:hAnsi="Verdana"/>
          <w:u w:val="single"/>
        </w:rPr>
        <w:lastRenderedPageBreak/>
        <w:t>Comunicato congiunto</w:t>
      </w:r>
    </w:p>
    <w:p w:rsidR="006954C1" w:rsidRPr="00EA3863" w:rsidRDefault="006954C1" w:rsidP="006954C1">
      <w:pPr>
        <w:rPr>
          <w:rFonts w:ascii="Times New Roman" w:hAnsi="Times New Roman"/>
          <w:color w:val="000000"/>
          <w:sz w:val="22"/>
          <w:szCs w:val="22"/>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2423"/>
        <w:gridCol w:w="2423"/>
        <w:gridCol w:w="2424"/>
        <w:gridCol w:w="2424"/>
      </w:tblGrid>
      <w:tr w:rsidR="006954C1" w:rsidRPr="00CB1B24" w:rsidTr="00A56764">
        <w:trPr>
          <w:jc w:val="center"/>
        </w:trPr>
        <w:tc>
          <w:tcPr>
            <w:tcW w:w="1000" w:type="pct"/>
            <w:vAlign w:val="center"/>
          </w:tcPr>
          <w:p w:rsidR="006954C1" w:rsidRPr="00CB1B24" w:rsidRDefault="006954C1" w:rsidP="00A56764">
            <w:pPr>
              <w:pStyle w:val="Contenutotabella"/>
              <w:snapToGrid w:val="0"/>
              <w:spacing w:line="360" w:lineRule="auto"/>
              <w:jc w:val="center"/>
              <w:rPr>
                <w:color w:val="000000"/>
                <w:sz w:val="22"/>
                <w:szCs w:val="22"/>
              </w:rPr>
            </w:pPr>
            <w:r>
              <w:rPr>
                <w:noProof/>
                <w:color w:val="000000"/>
                <w:sz w:val="22"/>
                <w:szCs w:val="22"/>
                <w:lang w:eastAsia="it-IT"/>
              </w:rPr>
              <w:drawing>
                <wp:inline distT="0" distB="0" distL="0" distR="0">
                  <wp:extent cx="1133475" cy="561975"/>
                  <wp:effectExtent l="0" t="0" r="9525" b="9525"/>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33475" cy="561975"/>
                          </a:xfrm>
                          <a:prstGeom prst="rect">
                            <a:avLst/>
                          </a:prstGeom>
                          <a:noFill/>
                          <a:ln>
                            <a:noFill/>
                          </a:ln>
                        </pic:spPr>
                      </pic:pic>
                    </a:graphicData>
                  </a:graphic>
                </wp:inline>
              </w:drawing>
            </w:r>
          </w:p>
        </w:tc>
        <w:tc>
          <w:tcPr>
            <w:tcW w:w="1000" w:type="pct"/>
            <w:vAlign w:val="center"/>
          </w:tcPr>
          <w:p w:rsidR="006954C1" w:rsidRPr="00CB1B24" w:rsidRDefault="006954C1" w:rsidP="00A56764">
            <w:pPr>
              <w:pStyle w:val="Contenutotabella"/>
              <w:snapToGrid w:val="0"/>
              <w:spacing w:line="360" w:lineRule="auto"/>
              <w:jc w:val="center"/>
              <w:rPr>
                <w:color w:val="000000"/>
                <w:sz w:val="22"/>
                <w:szCs w:val="22"/>
              </w:rPr>
            </w:pPr>
            <w:r>
              <w:rPr>
                <w:noProof/>
                <w:color w:val="000000"/>
                <w:sz w:val="22"/>
                <w:szCs w:val="22"/>
                <w:lang w:eastAsia="it-IT"/>
              </w:rPr>
              <w:drawing>
                <wp:inline distT="0" distB="0" distL="0" distR="0">
                  <wp:extent cx="1095375" cy="485775"/>
                  <wp:effectExtent l="0" t="0" r="9525" b="9525"/>
                  <wp:docPr id="3" name="Immagine 3" descr="Uil_Scuo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il_Scuol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95375" cy="485775"/>
                          </a:xfrm>
                          <a:prstGeom prst="rect">
                            <a:avLst/>
                          </a:prstGeom>
                          <a:noFill/>
                          <a:ln>
                            <a:noFill/>
                          </a:ln>
                        </pic:spPr>
                      </pic:pic>
                    </a:graphicData>
                  </a:graphic>
                </wp:inline>
              </w:drawing>
            </w:r>
          </w:p>
        </w:tc>
        <w:tc>
          <w:tcPr>
            <w:tcW w:w="1000" w:type="pct"/>
            <w:vAlign w:val="center"/>
          </w:tcPr>
          <w:p w:rsidR="006954C1" w:rsidRPr="00CB1B24" w:rsidRDefault="006954C1" w:rsidP="00A56764">
            <w:pPr>
              <w:pStyle w:val="Contenutotabella"/>
              <w:snapToGrid w:val="0"/>
              <w:spacing w:line="360" w:lineRule="auto"/>
              <w:jc w:val="center"/>
              <w:rPr>
                <w:color w:val="000000"/>
                <w:sz w:val="22"/>
                <w:szCs w:val="22"/>
              </w:rPr>
            </w:pPr>
            <w:r>
              <w:rPr>
                <w:noProof/>
                <w:color w:val="000000"/>
                <w:sz w:val="22"/>
                <w:szCs w:val="22"/>
                <w:lang w:eastAsia="it-IT"/>
              </w:rPr>
              <w:drawing>
                <wp:inline distT="0" distB="0" distL="0" distR="0">
                  <wp:extent cx="981075" cy="552450"/>
                  <wp:effectExtent l="0" t="0" r="9525" b="0"/>
                  <wp:docPr id="2" name="Immagine 2" descr="SNALS Logo nuo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NALS Logo nuov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81075" cy="552450"/>
                          </a:xfrm>
                          <a:prstGeom prst="rect">
                            <a:avLst/>
                          </a:prstGeom>
                          <a:noFill/>
                          <a:ln>
                            <a:noFill/>
                          </a:ln>
                        </pic:spPr>
                      </pic:pic>
                    </a:graphicData>
                  </a:graphic>
                </wp:inline>
              </w:drawing>
            </w:r>
          </w:p>
        </w:tc>
        <w:tc>
          <w:tcPr>
            <w:tcW w:w="1000" w:type="pct"/>
            <w:vAlign w:val="center"/>
          </w:tcPr>
          <w:p w:rsidR="006954C1" w:rsidRPr="00CB1B24" w:rsidRDefault="006954C1" w:rsidP="00A56764">
            <w:pPr>
              <w:pStyle w:val="Contenutotabella"/>
              <w:snapToGrid w:val="0"/>
              <w:spacing w:line="360" w:lineRule="auto"/>
              <w:jc w:val="center"/>
              <w:rPr>
                <w:color w:val="000000"/>
                <w:sz w:val="22"/>
                <w:szCs w:val="22"/>
              </w:rPr>
            </w:pPr>
            <w:r>
              <w:rPr>
                <w:noProof/>
                <w:color w:val="000000"/>
                <w:sz w:val="22"/>
                <w:szCs w:val="22"/>
                <w:lang w:eastAsia="it-IT"/>
              </w:rPr>
              <w:drawing>
                <wp:inline distT="0" distB="0" distL="0" distR="0">
                  <wp:extent cx="561975" cy="533400"/>
                  <wp:effectExtent l="0" t="0" r="952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975" cy="533400"/>
                          </a:xfrm>
                          <a:prstGeom prst="rect">
                            <a:avLst/>
                          </a:prstGeom>
                          <a:noFill/>
                          <a:ln>
                            <a:noFill/>
                          </a:ln>
                        </pic:spPr>
                      </pic:pic>
                    </a:graphicData>
                  </a:graphic>
                </wp:inline>
              </w:drawing>
            </w:r>
          </w:p>
        </w:tc>
      </w:tr>
    </w:tbl>
    <w:p w:rsidR="006954C1" w:rsidRDefault="006954C1" w:rsidP="006954C1">
      <w:pPr>
        <w:spacing w:line="360" w:lineRule="auto"/>
        <w:rPr>
          <w:rFonts w:ascii="Times New Roman" w:hAnsi="Times New Roman"/>
          <w:color w:val="000000"/>
          <w:sz w:val="22"/>
          <w:szCs w:val="22"/>
        </w:rPr>
      </w:pPr>
    </w:p>
    <w:p w:rsidR="006954C1" w:rsidRPr="00CB1B24" w:rsidRDefault="006954C1" w:rsidP="006954C1">
      <w:pPr>
        <w:spacing w:line="360" w:lineRule="auto"/>
        <w:rPr>
          <w:rFonts w:ascii="Times New Roman" w:hAnsi="Times New Roman"/>
          <w:color w:val="000000"/>
          <w:sz w:val="22"/>
          <w:szCs w:val="22"/>
        </w:rPr>
      </w:pPr>
      <w:r w:rsidRPr="00CB1B24">
        <w:rPr>
          <w:rFonts w:ascii="Times New Roman" w:hAnsi="Times New Roman"/>
          <w:color w:val="000000"/>
          <w:sz w:val="22"/>
          <w:szCs w:val="22"/>
        </w:rPr>
        <w:t xml:space="preserve">Le Organizzazioni sindacali Cisl Scuola, Uil Scuola, </w:t>
      </w:r>
      <w:proofErr w:type="spellStart"/>
      <w:r w:rsidRPr="00CB1B24">
        <w:rPr>
          <w:rFonts w:ascii="Times New Roman" w:hAnsi="Times New Roman"/>
          <w:color w:val="000000"/>
          <w:sz w:val="22"/>
          <w:szCs w:val="22"/>
        </w:rPr>
        <w:t>Snals</w:t>
      </w:r>
      <w:proofErr w:type="spellEnd"/>
      <w:r w:rsidRPr="00CB1B24">
        <w:rPr>
          <w:rFonts w:ascii="Times New Roman" w:hAnsi="Times New Roman"/>
          <w:color w:val="000000"/>
          <w:sz w:val="22"/>
          <w:szCs w:val="22"/>
        </w:rPr>
        <w:t xml:space="preserve"> </w:t>
      </w:r>
      <w:proofErr w:type="spellStart"/>
      <w:r w:rsidRPr="00CB1B24">
        <w:rPr>
          <w:rFonts w:ascii="Times New Roman" w:hAnsi="Times New Roman"/>
          <w:color w:val="000000"/>
          <w:sz w:val="22"/>
          <w:szCs w:val="22"/>
        </w:rPr>
        <w:t>Confsal</w:t>
      </w:r>
      <w:proofErr w:type="spellEnd"/>
      <w:r w:rsidRPr="00CB1B24">
        <w:rPr>
          <w:rFonts w:ascii="Times New Roman" w:hAnsi="Times New Roman"/>
          <w:color w:val="000000"/>
          <w:sz w:val="22"/>
          <w:szCs w:val="22"/>
        </w:rPr>
        <w:t xml:space="preserve"> e Gilda </w:t>
      </w:r>
      <w:proofErr w:type="spellStart"/>
      <w:r w:rsidRPr="00CB1B24">
        <w:rPr>
          <w:rFonts w:ascii="Times New Roman" w:hAnsi="Times New Roman"/>
          <w:color w:val="000000"/>
          <w:sz w:val="22"/>
          <w:szCs w:val="22"/>
        </w:rPr>
        <w:t>Fgu</w:t>
      </w:r>
      <w:proofErr w:type="spellEnd"/>
      <w:r w:rsidRPr="00CB1B24">
        <w:rPr>
          <w:rFonts w:ascii="Times New Roman" w:hAnsi="Times New Roman"/>
          <w:color w:val="000000"/>
          <w:sz w:val="22"/>
          <w:szCs w:val="22"/>
        </w:rPr>
        <w:t xml:space="preserve"> </w:t>
      </w:r>
      <w:r w:rsidRPr="00CB1B24">
        <w:rPr>
          <w:rFonts w:ascii="Times New Roman" w:hAnsi="Times New Roman"/>
          <w:bCs/>
          <w:color w:val="000000"/>
          <w:sz w:val="22"/>
          <w:szCs w:val="22"/>
        </w:rPr>
        <w:t>hanno</w:t>
      </w:r>
      <w:r w:rsidRPr="00CB1B24">
        <w:rPr>
          <w:rFonts w:ascii="Times New Roman" w:hAnsi="Times New Roman"/>
          <w:color w:val="000000"/>
          <w:sz w:val="22"/>
          <w:szCs w:val="22"/>
        </w:rPr>
        <w:t xml:space="preserve"> diffidato  MEF e MIUR dal procedere alla sospensione del pagamento delle posizioni economiche del personale ATA e al recupero delle somme precedentemente liquidate </w:t>
      </w:r>
      <w:r w:rsidRPr="00CB1B24">
        <w:rPr>
          <w:rFonts w:ascii="Times New Roman" w:hAnsi="Times New Roman"/>
          <w:bCs/>
          <w:color w:val="000000"/>
          <w:sz w:val="22"/>
          <w:szCs w:val="22"/>
        </w:rPr>
        <w:t>dal settembre 2013 nei confronti di coloro che hanno acquisito il beneficio con decorrenza settembre 2011</w:t>
      </w:r>
      <w:r w:rsidRPr="00CB1B24">
        <w:rPr>
          <w:rFonts w:ascii="Times New Roman" w:hAnsi="Times New Roman"/>
          <w:color w:val="000000"/>
          <w:sz w:val="22"/>
          <w:szCs w:val="22"/>
        </w:rPr>
        <w:t>.</w:t>
      </w:r>
    </w:p>
    <w:p w:rsidR="006954C1" w:rsidRPr="00CB1B24" w:rsidRDefault="006954C1" w:rsidP="006954C1">
      <w:pPr>
        <w:spacing w:line="360" w:lineRule="auto"/>
        <w:rPr>
          <w:rFonts w:ascii="Times New Roman" w:hAnsi="Times New Roman"/>
          <w:color w:val="000000"/>
          <w:sz w:val="22"/>
          <w:szCs w:val="22"/>
        </w:rPr>
      </w:pPr>
      <w:r w:rsidRPr="00CB1B24">
        <w:rPr>
          <w:rFonts w:ascii="Times New Roman" w:hAnsi="Times New Roman"/>
          <w:color w:val="000000"/>
          <w:sz w:val="22"/>
          <w:szCs w:val="22"/>
        </w:rPr>
        <w:t xml:space="preserve">Contestano la nota indirizzata al MEF il 5 febbraio dal Capo Dipartimento Istruzione del MIUR e nel frattempo proclamano lo stato di agitazione, già preannunciato in data 31 gennaio 2014, attivano le procedure di conciliazione che  </w:t>
      </w:r>
      <w:r w:rsidRPr="00CB1B24">
        <w:rPr>
          <w:rFonts w:ascii="Times New Roman" w:hAnsi="Times New Roman"/>
          <w:bCs/>
          <w:color w:val="000000"/>
          <w:sz w:val="22"/>
          <w:szCs w:val="22"/>
        </w:rPr>
        <w:t xml:space="preserve">in assenza di esito positivo </w:t>
      </w:r>
      <w:r w:rsidRPr="00CB1B24">
        <w:rPr>
          <w:rFonts w:ascii="Times New Roman" w:hAnsi="Times New Roman"/>
          <w:color w:val="000000"/>
          <w:sz w:val="22"/>
          <w:szCs w:val="22"/>
        </w:rPr>
        <w:t xml:space="preserve"> comporterà  l’astensione del personale da tutte le prestazioni connesse alle posizioni economiche maturate. </w:t>
      </w:r>
    </w:p>
    <w:p w:rsidR="006954C1" w:rsidRPr="00CB1B24" w:rsidRDefault="006954C1" w:rsidP="006954C1">
      <w:pPr>
        <w:widowControl w:val="0"/>
        <w:spacing w:line="360" w:lineRule="auto"/>
        <w:rPr>
          <w:rFonts w:ascii="Times New Roman" w:hAnsi="Times New Roman"/>
          <w:bCs/>
          <w:color w:val="000000"/>
          <w:sz w:val="22"/>
          <w:szCs w:val="22"/>
        </w:rPr>
      </w:pPr>
      <w:r w:rsidRPr="00CB1B24">
        <w:rPr>
          <w:rFonts w:ascii="Times New Roman" w:hAnsi="Times New Roman"/>
          <w:bCs/>
          <w:color w:val="000000"/>
          <w:sz w:val="22"/>
          <w:szCs w:val="22"/>
        </w:rPr>
        <w:t>Roma, 6 febbraio 2014</w:t>
      </w: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2423"/>
        <w:gridCol w:w="2423"/>
        <w:gridCol w:w="2424"/>
        <w:gridCol w:w="2424"/>
      </w:tblGrid>
      <w:tr w:rsidR="006954C1" w:rsidRPr="00CB1B24" w:rsidTr="00A56764">
        <w:trPr>
          <w:jc w:val="center"/>
        </w:trPr>
        <w:tc>
          <w:tcPr>
            <w:tcW w:w="1250" w:type="pct"/>
            <w:vAlign w:val="center"/>
          </w:tcPr>
          <w:p w:rsidR="006954C1" w:rsidRPr="00CB1B24" w:rsidRDefault="006954C1" w:rsidP="00A56764">
            <w:pPr>
              <w:pStyle w:val="Contenutotabella"/>
              <w:snapToGrid w:val="0"/>
              <w:jc w:val="center"/>
              <w:rPr>
                <w:i/>
                <w:color w:val="000000"/>
                <w:sz w:val="22"/>
                <w:szCs w:val="22"/>
              </w:rPr>
            </w:pPr>
            <w:r w:rsidRPr="00CB1B24">
              <w:rPr>
                <w:i/>
                <w:color w:val="000000"/>
                <w:sz w:val="22"/>
                <w:szCs w:val="22"/>
              </w:rPr>
              <w:t>CISL Scuola</w:t>
            </w:r>
          </w:p>
          <w:p w:rsidR="006954C1" w:rsidRPr="00CB1B24" w:rsidRDefault="006954C1" w:rsidP="00A56764">
            <w:pPr>
              <w:pStyle w:val="Contenutotabella"/>
              <w:snapToGrid w:val="0"/>
              <w:jc w:val="center"/>
              <w:rPr>
                <w:i/>
                <w:color w:val="000000"/>
                <w:sz w:val="22"/>
                <w:szCs w:val="22"/>
              </w:rPr>
            </w:pPr>
            <w:r w:rsidRPr="00CB1B24">
              <w:rPr>
                <w:i/>
                <w:color w:val="000000"/>
                <w:sz w:val="22"/>
                <w:szCs w:val="22"/>
              </w:rPr>
              <w:t>Francesco Scrima</w:t>
            </w:r>
          </w:p>
        </w:tc>
        <w:tc>
          <w:tcPr>
            <w:tcW w:w="1250" w:type="pct"/>
            <w:vAlign w:val="center"/>
          </w:tcPr>
          <w:p w:rsidR="006954C1" w:rsidRPr="00CB1B24" w:rsidRDefault="006954C1" w:rsidP="00A56764">
            <w:pPr>
              <w:pStyle w:val="Contenutotabella"/>
              <w:snapToGrid w:val="0"/>
              <w:jc w:val="center"/>
              <w:rPr>
                <w:i/>
                <w:color w:val="000000"/>
                <w:sz w:val="22"/>
                <w:szCs w:val="22"/>
              </w:rPr>
            </w:pPr>
            <w:r w:rsidRPr="00CB1B24">
              <w:rPr>
                <w:i/>
                <w:color w:val="000000"/>
                <w:sz w:val="22"/>
                <w:szCs w:val="22"/>
              </w:rPr>
              <w:t xml:space="preserve">UIL Scuola </w:t>
            </w:r>
          </w:p>
          <w:p w:rsidR="006954C1" w:rsidRPr="00CB1B24" w:rsidRDefault="006954C1" w:rsidP="00A56764">
            <w:pPr>
              <w:pStyle w:val="Contenutotabella"/>
              <w:snapToGrid w:val="0"/>
              <w:jc w:val="center"/>
              <w:rPr>
                <w:i/>
                <w:color w:val="000000"/>
                <w:sz w:val="22"/>
                <w:szCs w:val="22"/>
              </w:rPr>
            </w:pPr>
            <w:r w:rsidRPr="00CB1B24">
              <w:rPr>
                <w:i/>
                <w:color w:val="000000"/>
                <w:sz w:val="22"/>
                <w:szCs w:val="22"/>
              </w:rPr>
              <w:t>Massimo Di Menna</w:t>
            </w:r>
          </w:p>
        </w:tc>
        <w:tc>
          <w:tcPr>
            <w:tcW w:w="1250" w:type="pct"/>
            <w:vAlign w:val="center"/>
          </w:tcPr>
          <w:p w:rsidR="006954C1" w:rsidRPr="00CB1B24" w:rsidRDefault="006954C1" w:rsidP="00A56764">
            <w:pPr>
              <w:pStyle w:val="Contenutotabella"/>
              <w:snapToGrid w:val="0"/>
              <w:jc w:val="center"/>
              <w:rPr>
                <w:i/>
                <w:color w:val="000000"/>
                <w:sz w:val="22"/>
                <w:szCs w:val="22"/>
              </w:rPr>
            </w:pPr>
            <w:r w:rsidRPr="00CB1B24">
              <w:rPr>
                <w:i/>
                <w:color w:val="000000"/>
                <w:sz w:val="22"/>
                <w:szCs w:val="22"/>
              </w:rPr>
              <w:t>SNALS-</w:t>
            </w:r>
            <w:proofErr w:type="spellStart"/>
            <w:r w:rsidRPr="00CB1B24">
              <w:rPr>
                <w:i/>
                <w:color w:val="000000"/>
                <w:sz w:val="22"/>
                <w:szCs w:val="22"/>
              </w:rPr>
              <w:t>Confsal</w:t>
            </w:r>
            <w:proofErr w:type="spellEnd"/>
          </w:p>
          <w:p w:rsidR="006954C1" w:rsidRPr="00CB1B24" w:rsidRDefault="006954C1" w:rsidP="00A56764">
            <w:pPr>
              <w:pStyle w:val="Contenutotabella"/>
              <w:snapToGrid w:val="0"/>
              <w:jc w:val="center"/>
              <w:rPr>
                <w:i/>
                <w:color w:val="000000"/>
                <w:sz w:val="22"/>
                <w:szCs w:val="22"/>
              </w:rPr>
            </w:pPr>
            <w:r w:rsidRPr="00CB1B24">
              <w:rPr>
                <w:i/>
                <w:color w:val="000000"/>
                <w:sz w:val="22"/>
                <w:szCs w:val="22"/>
              </w:rPr>
              <w:t xml:space="preserve">Marco Paolo </w:t>
            </w:r>
            <w:proofErr w:type="spellStart"/>
            <w:r w:rsidRPr="00CB1B24">
              <w:rPr>
                <w:i/>
                <w:color w:val="000000"/>
                <w:sz w:val="22"/>
                <w:szCs w:val="22"/>
              </w:rPr>
              <w:t>Nigi</w:t>
            </w:r>
            <w:proofErr w:type="spellEnd"/>
          </w:p>
        </w:tc>
        <w:tc>
          <w:tcPr>
            <w:tcW w:w="1250" w:type="pct"/>
            <w:vAlign w:val="center"/>
          </w:tcPr>
          <w:p w:rsidR="006954C1" w:rsidRPr="00CB1B24" w:rsidRDefault="006954C1" w:rsidP="00A56764">
            <w:pPr>
              <w:pStyle w:val="Contenutotabella"/>
              <w:snapToGrid w:val="0"/>
              <w:jc w:val="center"/>
              <w:rPr>
                <w:i/>
                <w:color w:val="000000"/>
                <w:sz w:val="22"/>
                <w:szCs w:val="22"/>
              </w:rPr>
            </w:pPr>
            <w:r w:rsidRPr="00CB1B24">
              <w:rPr>
                <w:i/>
                <w:color w:val="000000"/>
                <w:sz w:val="22"/>
                <w:szCs w:val="22"/>
              </w:rPr>
              <w:t xml:space="preserve">GILDA </w:t>
            </w:r>
            <w:proofErr w:type="spellStart"/>
            <w:r w:rsidRPr="00CB1B24">
              <w:rPr>
                <w:i/>
                <w:color w:val="000000"/>
                <w:sz w:val="22"/>
                <w:szCs w:val="22"/>
              </w:rPr>
              <w:t>Unams</w:t>
            </w:r>
            <w:proofErr w:type="spellEnd"/>
          </w:p>
          <w:p w:rsidR="006954C1" w:rsidRPr="00CB1B24" w:rsidRDefault="006954C1" w:rsidP="00A56764">
            <w:pPr>
              <w:pStyle w:val="Contenutotabella"/>
              <w:snapToGrid w:val="0"/>
              <w:jc w:val="center"/>
              <w:rPr>
                <w:i/>
                <w:color w:val="000000"/>
                <w:sz w:val="22"/>
                <w:szCs w:val="22"/>
              </w:rPr>
            </w:pPr>
            <w:r w:rsidRPr="00CB1B24">
              <w:rPr>
                <w:i/>
                <w:color w:val="000000"/>
                <w:sz w:val="22"/>
                <w:szCs w:val="22"/>
              </w:rPr>
              <w:t>Rino Di Meglio</w:t>
            </w:r>
          </w:p>
        </w:tc>
      </w:tr>
    </w:tbl>
    <w:p w:rsidR="006954C1" w:rsidRDefault="006954C1" w:rsidP="006954C1">
      <w:pPr>
        <w:pStyle w:val="NormaleWeb"/>
        <w:spacing w:before="0" w:after="0"/>
      </w:pPr>
    </w:p>
    <w:p w:rsidR="00463527" w:rsidRDefault="00463527">
      <w:bookmarkStart w:id="0" w:name="_GoBack"/>
      <w:bookmarkEnd w:id="0"/>
    </w:p>
    <w:sectPr w:rsidR="0046352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9E68F2"/>
    <w:multiLevelType w:val="hybridMultilevel"/>
    <w:tmpl w:val="AE208F06"/>
    <w:lvl w:ilvl="0" w:tplc="67DA9F6E">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913"/>
    <w:rsid w:val="00463527"/>
    <w:rsid w:val="006954C1"/>
    <w:rsid w:val="009979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954C1"/>
    <w:pPr>
      <w:tabs>
        <w:tab w:val="left" w:pos="397"/>
        <w:tab w:val="left" w:pos="851"/>
        <w:tab w:val="left" w:pos="1247"/>
        <w:tab w:val="left" w:pos="5670"/>
        <w:tab w:val="left" w:pos="7088"/>
      </w:tabs>
      <w:suppressAutoHyphens/>
      <w:spacing w:after="0" w:line="240" w:lineRule="auto"/>
      <w:jc w:val="both"/>
    </w:pPr>
    <w:rPr>
      <w:rFonts w:ascii="Verdana" w:eastAsia="Times New Roman" w:hAnsi="Verdana" w:cs="Times New Roman"/>
      <w:color w:val="000080"/>
      <w:sz w:val="20"/>
      <w:szCs w:val="20"/>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rsid w:val="006954C1"/>
    <w:pPr>
      <w:spacing w:before="100" w:after="100"/>
      <w:jc w:val="left"/>
    </w:pPr>
    <w:rPr>
      <w:rFonts w:ascii="Times New Roman" w:hAnsi="Times New Roman"/>
      <w:color w:val="auto"/>
      <w:sz w:val="24"/>
      <w:szCs w:val="24"/>
    </w:rPr>
  </w:style>
  <w:style w:type="paragraph" w:customStyle="1" w:styleId="Contenutotabella">
    <w:name w:val="Contenuto tabella"/>
    <w:basedOn w:val="Normale"/>
    <w:rsid w:val="006954C1"/>
    <w:pPr>
      <w:suppressLineNumbers/>
      <w:tabs>
        <w:tab w:val="clear" w:pos="397"/>
        <w:tab w:val="clear" w:pos="851"/>
        <w:tab w:val="clear" w:pos="1247"/>
        <w:tab w:val="clear" w:pos="5670"/>
        <w:tab w:val="clear" w:pos="7088"/>
      </w:tabs>
      <w:jc w:val="left"/>
    </w:pPr>
    <w:rPr>
      <w:rFonts w:ascii="Times New Roman" w:hAnsi="Times New Roman"/>
      <w:color w:val="auto"/>
      <w:sz w:val="24"/>
      <w:szCs w:val="24"/>
    </w:rPr>
  </w:style>
  <w:style w:type="paragraph" w:styleId="Testofumetto">
    <w:name w:val="Balloon Text"/>
    <w:basedOn w:val="Normale"/>
    <w:link w:val="TestofumettoCarattere"/>
    <w:uiPriority w:val="99"/>
    <w:semiHidden/>
    <w:unhideWhenUsed/>
    <w:rsid w:val="006954C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954C1"/>
    <w:rPr>
      <w:rFonts w:ascii="Tahoma" w:eastAsia="Times New Roman" w:hAnsi="Tahoma" w:cs="Tahoma"/>
      <w:color w:val="000080"/>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954C1"/>
    <w:pPr>
      <w:tabs>
        <w:tab w:val="left" w:pos="397"/>
        <w:tab w:val="left" w:pos="851"/>
        <w:tab w:val="left" w:pos="1247"/>
        <w:tab w:val="left" w:pos="5670"/>
        <w:tab w:val="left" w:pos="7088"/>
      </w:tabs>
      <w:suppressAutoHyphens/>
      <w:spacing w:after="0" w:line="240" w:lineRule="auto"/>
      <w:jc w:val="both"/>
    </w:pPr>
    <w:rPr>
      <w:rFonts w:ascii="Verdana" w:eastAsia="Times New Roman" w:hAnsi="Verdana" w:cs="Times New Roman"/>
      <w:color w:val="000080"/>
      <w:sz w:val="20"/>
      <w:szCs w:val="20"/>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rsid w:val="006954C1"/>
    <w:pPr>
      <w:spacing w:before="100" w:after="100"/>
      <w:jc w:val="left"/>
    </w:pPr>
    <w:rPr>
      <w:rFonts w:ascii="Times New Roman" w:hAnsi="Times New Roman"/>
      <w:color w:val="auto"/>
      <w:sz w:val="24"/>
      <w:szCs w:val="24"/>
    </w:rPr>
  </w:style>
  <w:style w:type="paragraph" w:customStyle="1" w:styleId="Contenutotabella">
    <w:name w:val="Contenuto tabella"/>
    <w:basedOn w:val="Normale"/>
    <w:rsid w:val="006954C1"/>
    <w:pPr>
      <w:suppressLineNumbers/>
      <w:tabs>
        <w:tab w:val="clear" w:pos="397"/>
        <w:tab w:val="clear" w:pos="851"/>
        <w:tab w:val="clear" w:pos="1247"/>
        <w:tab w:val="clear" w:pos="5670"/>
        <w:tab w:val="clear" w:pos="7088"/>
      </w:tabs>
      <w:jc w:val="left"/>
    </w:pPr>
    <w:rPr>
      <w:rFonts w:ascii="Times New Roman" w:hAnsi="Times New Roman"/>
      <w:color w:val="auto"/>
      <w:sz w:val="24"/>
      <w:szCs w:val="24"/>
    </w:rPr>
  </w:style>
  <w:style w:type="paragraph" w:styleId="Testofumetto">
    <w:name w:val="Balloon Text"/>
    <w:basedOn w:val="Normale"/>
    <w:link w:val="TestofumettoCarattere"/>
    <w:uiPriority w:val="99"/>
    <w:semiHidden/>
    <w:unhideWhenUsed/>
    <w:rsid w:val="006954C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954C1"/>
    <w:rPr>
      <w:rFonts w:ascii="Tahoma" w:eastAsia="Times New Roman" w:hAnsi="Tahoma" w:cs="Tahoma"/>
      <w:color w:val="000080"/>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1021</Words>
  <Characters>5826</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6834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Pamela</dc:creator>
  <cp:lastModifiedBy>Pamela</cp:lastModifiedBy>
  <cp:revision>2</cp:revision>
  <dcterms:created xsi:type="dcterms:W3CDTF">2014-02-07T09:56:00Z</dcterms:created>
  <dcterms:modified xsi:type="dcterms:W3CDTF">2014-02-07T09:56:00Z</dcterms:modified>
</cp:coreProperties>
</file>